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48"/>
        <w:jc w:val="both"/>
        <w:rPr/>
      </w:pPr>
      <w:r>
        <w:rPr/>
        <w:t xml:space="preserve">Vista la </w:t>
      </w:r>
      <w:r>
        <w:fldChar w:fldCharType="begin"/>
      </w:r>
      <w:r>
        <w:rPr>
          <w:rStyle w:val="Linkneltesto"/>
          <w:i w:val="false"/>
        </w:rPr>
        <w:instrText> HYPERLINK "http://https/entilocali.leggiditalia.it/" \l "id=10LX0000109983ART0,__m=document"</w:instrText>
      </w:r>
      <w:r>
        <w:rPr>
          <w:rStyle w:val="Linkneltesto"/>
          <w:i w:val="false"/>
        </w:rPr>
        <w:fldChar w:fldCharType="separate"/>
      </w:r>
      <w:r>
        <w:rPr>
          <w:rStyle w:val="Linkneltesto"/>
          <w:i w:val="false"/>
        </w:rPr>
        <w:t>legge 23 agosto 1988, n. 400</w:t>
      </w:r>
      <w:r>
        <w:rPr>
          <w:rStyle w:val="Linkneltesto"/>
          <w:i w:val="false"/>
        </w:rPr>
        <w:fldChar w:fldCharType="end"/>
      </w:r>
      <w:r>
        <w:rPr/>
        <w:t xml:space="preserve">; </w:t>
      </w:r>
    </w:p>
    <w:p>
      <w:pPr>
        <w:pStyle w:val="NormalWeb"/>
        <w:spacing w:before="280" w:after="48"/>
        <w:jc w:val="both"/>
        <w:rPr/>
      </w:pPr>
      <w:r>
        <w:rPr/>
        <w:t xml:space="preserve">Visto il </w:t>
      </w:r>
      <w:r>
        <w:fldChar w:fldCharType="begin"/>
      </w:r>
      <w:r>
        <w:rPr>
          <w:rStyle w:val="Linkneltesto"/>
          <w:i w:val="false"/>
        </w:rPr>
        <w:instrText> HYPERLINK "http://https/entilocali.leggiditalia.it/" \l "id=10LX0000887625ART0,__m=document"</w:instrText>
      </w:r>
      <w:r>
        <w:rPr>
          <w:rStyle w:val="Linkneltesto"/>
          <w:i w:val="false"/>
        </w:rPr>
        <w:fldChar w:fldCharType="separate"/>
      </w:r>
      <w:r>
        <w:rPr>
          <w:rStyle w:val="Linkneltesto"/>
          <w:i w:val="false"/>
        </w:rPr>
        <w:t>decreto-legge 23 febbraio 2020, n. 6</w:t>
      </w:r>
      <w:r>
        <w:rPr>
          <w:rStyle w:val="Linkneltesto"/>
          <w:i w:val="false"/>
        </w:rPr>
        <w:fldChar w:fldCharType="end"/>
      </w:r>
      <w:r>
        <w:rPr>
          <w:i/>
        </w:rPr>
        <w:t>,</w:t>
      </w:r>
      <w:r>
        <w:rPr/>
        <w:t xml:space="preserve"> recante «Misure urgenti in materia di contenimento e gestione dell'emergenza epidemiologica da COVID-19», convertito, con modificazioni, dalla </w:t>
      </w:r>
      <w:r>
        <w:fldChar w:fldCharType="begin"/>
      </w:r>
      <w:r>
        <w:rPr>
          <w:rStyle w:val="Linkneltesto"/>
          <w:i w:val="false"/>
        </w:rPr>
        <w:instrText> HYPERLINK "http://https/entilocali.leggiditalia.it/" \l "id=10LX0000888440ART0,__m=document"</w:instrText>
      </w:r>
      <w:r>
        <w:rPr>
          <w:rStyle w:val="Linkneltesto"/>
          <w:i w:val="false"/>
        </w:rPr>
        <w:fldChar w:fldCharType="separate"/>
      </w:r>
      <w:r>
        <w:rPr>
          <w:rStyle w:val="Linkneltesto"/>
          <w:i w:val="false"/>
        </w:rPr>
        <w:t>legge 5 marzo 2020, n. 13</w:t>
      </w:r>
      <w:r>
        <w:rPr>
          <w:rStyle w:val="Linkneltesto"/>
          <w:i w:val="false"/>
        </w:rPr>
        <w:fldChar w:fldCharType="end"/>
      </w:r>
      <w:r>
        <w:rPr/>
        <w:t xml:space="preserve">, successivamente abrogato dal </w:t>
      </w:r>
      <w:r>
        <w:fldChar w:fldCharType="begin"/>
      </w:r>
      <w:r>
        <w:rPr>
          <w:rStyle w:val="Linkneltesto"/>
          <w:i w:val="false"/>
        </w:rPr>
        <w:instrText> HYPERLINK "http://https/entilocali.leggiditalia.it/" \l "id=10LX0000889307ART0,__m=document"</w:instrText>
      </w:r>
      <w:r>
        <w:rPr>
          <w:rStyle w:val="Linkneltesto"/>
          <w:i w:val="false"/>
        </w:rPr>
        <w:fldChar w:fldCharType="separate"/>
      </w:r>
      <w:r>
        <w:rPr>
          <w:rStyle w:val="Linkneltesto"/>
          <w:i w:val="false"/>
        </w:rPr>
        <w:t>decreto-legge n. 19 del 2020</w:t>
      </w:r>
      <w:r>
        <w:rPr>
          <w:rStyle w:val="Linkneltesto"/>
          <w:i w:val="false"/>
        </w:rPr>
        <w:fldChar w:fldCharType="end"/>
      </w:r>
      <w:r>
        <w:rPr/>
        <w:t xml:space="preserve"> ad eccezione dell'</w:t>
      </w:r>
      <w:r>
        <w:fldChar w:fldCharType="begin"/>
      </w:r>
      <w:r>
        <w:rPr>
          <w:rStyle w:val="Linkneltesto"/>
          <w:i w:val="false"/>
        </w:rPr>
        <w:instrText> HYPERLINK "http://https/entilocali.leggiditalia.it/" \l "id=10LX0000887625ART15,__m=document"</w:instrText>
      </w:r>
      <w:r>
        <w:rPr>
          <w:rStyle w:val="Linkneltesto"/>
          <w:i w:val="false"/>
        </w:rPr>
        <w:fldChar w:fldCharType="separate"/>
      </w:r>
      <w:r>
        <w:rPr>
          <w:rStyle w:val="Linkneltesto"/>
          <w:i w:val="false"/>
        </w:rPr>
        <w:t>articolo 3</w:t>
      </w:r>
      <w:r>
        <w:rPr>
          <w:rStyle w:val="Linkneltesto"/>
          <w:i w:val="false"/>
        </w:rPr>
        <w:fldChar w:fldCharType="end"/>
      </w:r>
      <w:r>
        <w:rPr/>
        <w:t>, comma 6-bis, e dell'</w:t>
      </w:r>
      <w:r>
        <w:fldChar w:fldCharType="begin"/>
      </w:r>
      <w:r>
        <w:rPr>
          <w:rStyle w:val="Linkneltesto"/>
          <w:i w:val="false"/>
        </w:rPr>
        <w:instrText> HYPERLINK "http://https/entilocali.leggiditalia.it/" \l "id=10LX0000887625ART16,__m=document"</w:instrText>
      </w:r>
      <w:r>
        <w:rPr>
          <w:rStyle w:val="Linkneltesto"/>
          <w:i w:val="false"/>
        </w:rPr>
        <w:fldChar w:fldCharType="separate"/>
      </w:r>
      <w:r>
        <w:rPr>
          <w:rStyle w:val="Linkneltesto"/>
          <w:i w:val="false"/>
        </w:rPr>
        <w:t>articolo 4</w:t>
      </w:r>
      <w:r>
        <w:rPr>
          <w:rStyle w:val="Linkneltesto"/>
          <w:i w:val="false"/>
        </w:rPr>
        <w:fldChar w:fldCharType="end"/>
      </w:r>
      <w:r>
        <w:rPr/>
        <w:t xml:space="preserve">; </w:t>
      </w:r>
    </w:p>
    <w:p>
      <w:pPr>
        <w:pStyle w:val="NormalWeb"/>
        <w:spacing w:before="280" w:after="48"/>
        <w:jc w:val="both"/>
        <w:rPr/>
      </w:pPr>
      <w:r>
        <w:rPr/>
        <w:t xml:space="preserve">Visto il </w:t>
      </w:r>
      <w:r>
        <w:fldChar w:fldCharType="begin"/>
      </w:r>
      <w:r>
        <w:rPr>
          <w:rStyle w:val="Linkneltesto"/>
          <w:i w:val="false"/>
        </w:rPr>
        <w:instrText> HYPERLINK "http://https/entilocali.leggiditalia.it/" \l "id=10LX0000889307ART0,__m=document"</w:instrText>
      </w:r>
      <w:r>
        <w:rPr>
          <w:rStyle w:val="Linkneltesto"/>
          <w:i w:val="false"/>
        </w:rPr>
        <w:fldChar w:fldCharType="separate"/>
      </w:r>
      <w:r>
        <w:rPr>
          <w:rStyle w:val="Linkneltesto"/>
          <w:i w:val="false"/>
        </w:rPr>
        <w:t>decreto-legge 25 marzo 2020, n. 19</w:t>
      </w:r>
      <w:r>
        <w:rPr>
          <w:rStyle w:val="Linkneltesto"/>
          <w:i w:val="false"/>
        </w:rPr>
        <w:fldChar w:fldCharType="end"/>
      </w:r>
      <w:r>
        <w:rPr/>
        <w:t xml:space="preserve">, convertito, con modificazioni, </w:t>
      </w:r>
      <w:r>
        <w:fldChar w:fldCharType="begin"/>
      </w:r>
      <w:r>
        <w:rPr>
          <w:rStyle w:val="CollegamentoInternet"/>
        </w:rPr>
        <w:instrText> HYPERLINK "http://https/entilocali.leggiditalia.it/" \l "id=10LX0000892608ART13,__m=document"</w:instrText>
      </w:r>
      <w:r>
        <w:rPr>
          <w:rStyle w:val="CollegamentoInternet"/>
        </w:rPr>
        <w:fldChar w:fldCharType="separate"/>
      </w:r>
      <w:r>
        <w:rPr>
          <w:rStyle w:val="CollegamentoInternet"/>
        </w:rPr>
        <w:t>da</w:t>
      </w:r>
      <w:r>
        <w:rPr>
          <w:rStyle w:val="CollegamentoInternet"/>
        </w:rPr>
        <w:fldChar w:fldCharType="end"/>
      </w:r>
      <w:r>
        <w:rPr>
          <w:rStyle w:val="CollegamentoInternet"/>
          <w:i w:val="false"/>
          <w:iCs/>
        </w:rPr>
        <w:t>lla legge 22 maggio 2020, n. 35</w:t>
      </w:r>
      <w:r>
        <w:rPr/>
        <w:t xml:space="preserve">, recante «Misure urgenti per fronteggiare l'emergenza epidemiologica da COVID-19» e in particolare gli </w:t>
      </w:r>
      <w:r>
        <w:fldChar w:fldCharType="begin"/>
      </w:r>
      <w:r>
        <w:rPr>
          <w:rStyle w:val="Linkneltesto"/>
          <w:i w:val="false"/>
        </w:rPr>
        <w:instrText> HYPERLINK "http://https/entilocali.leggiditalia.it/" \l "id=10LX0000889307ART13,__m=document"</w:instrText>
      </w:r>
      <w:r>
        <w:rPr>
          <w:rStyle w:val="Linkneltesto"/>
          <w:i w:val="false"/>
        </w:rPr>
        <w:fldChar w:fldCharType="separate"/>
      </w:r>
      <w:r>
        <w:rPr>
          <w:rStyle w:val="Linkneltesto"/>
          <w:i w:val="false"/>
        </w:rPr>
        <w:t>articoli 1</w:t>
      </w:r>
      <w:r>
        <w:rPr>
          <w:rStyle w:val="Linkneltesto"/>
          <w:i w:val="false"/>
        </w:rPr>
        <w:fldChar w:fldCharType="end"/>
      </w:r>
      <w:r>
        <w:rPr>
          <w:i/>
        </w:rPr>
        <w:t xml:space="preserve"> </w:t>
      </w:r>
      <w:r>
        <w:rPr/>
        <w:t>e</w:t>
      </w:r>
      <w:r>
        <w:rPr>
          <w:i/>
        </w:rPr>
        <w:t xml:space="preserve"> </w:t>
      </w:r>
      <w:r>
        <w:fldChar w:fldCharType="begin"/>
      </w:r>
      <w:r>
        <w:rPr>
          <w:rStyle w:val="Linkneltesto"/>
          <w:i w:val="false"/>
        </w:rPr>
        <w:instrText> HYPERLINK "http://https/entilocali.leggiditalia.it/" \l "id=10LX0000889307ART14,__m=document"</w:instrText>
      </w:r>
      <w:r>
        <w:rPr>
          <w:rStyle w:val="Linkneltesto"/>
          <w:i w:val="false"/>
        </w:rPr>
        <w:fldChar w:fldCharType="separate"/>
      </w:r>
      <w:r>
        <w:rPr>
          <w:rStyle w:val="Linkneltesto"/>
          <w:i w:val="false"/>
        </w:rPr>
        <w:t>2</w:t>
      </w:r>
      <w:r>
        <w:rPr>
          <w:rStyle w:val="Linkneltesto"/>
          <w:i w:val="false"/>
        </w:rPr>
        <w:fldChar w:fldCharType="end"/>
      </w:r>
      <w:r>
        <w:rPr/>
        <w:t xml:space="preserve">, comma 1; </w:t>
      </w:r>
    </w:p>
    <w:p>
      <w:pPr>
        <w:pStyle w:val="NormalWeb"/>
        <w:spacing w:before="280" w:after="48"/>
        <w:jc w:val="both"/>
        <w:rPr/>
      </w:pPr>
      <w:r>
        <w:rPr/>
        <w:t xml:space="preserve">Visto il </w:t>
      </w:r>
      <w:r>
        <w:fldChar w:fldCharType="begin"/>
      </w:r>
      <w:r>
        <w:rPr>
          <w:rStyle w:val="Linkneltesto"/>
          <w:i w:val="false"/>
        </w:rPr>
        <w:instrText> HYPERLINK "http://https/entilocali.leggiditalia.it/" \l "id=10LX0000892184ART0,__m=document"</w:instrText>
      </w:r>
      <w:r>
        <w:rPr>
          <w:rStyle w:val="Linkneltesto"/>
          <w:i w:val="false"/>
        </w:rPr>
        <w:fldChar w:fldCharType="separate"/>
      </w:r>
      <w:r>
        <w:rPr>
          <w:rStyle w:val="Linkneltesto"/>
          <w:i w:val="false"/>
        </w:rPr>
        <w:t>decreto-legge 16 maggio 2020, n. 33</w:t>
      </w:r>
      <w:r>
        <w:rPr>
          <w:rStyle w:val="Linkneltesto"/>
          <w:i w:val="false"/>
        </w:rPr>
        <w:fldChar w:fldCharType="end"/>
      </w:r>
      <w:r>
        <w:rPr/>
        <w:t xml:space="preserve">, convertito, con modificazioni, </w:t>
      </w:r>
      <w:r>
        <w:fldChar w:fldCharType="begin"/>
      </w:r>
      <w:r>
        <w:rPr>
          <w:rStyle w:val="CollegamentoInternet"/>
        </w:rPr>
        <w:instrText> HYPERLINK "http://https/entilocali.leggiditalia.it/" \l "id=10LX0000895765ART13,__m=document"</w:instrText>
      </w:r>
      <w:r>
        <w:rPr>
          <w:rStyle w:val="CollegamentoInternet"/>
        </w:rPr>
        <w:fldChar w:fldCharType="separate"/>
      </w:r>
      <w:r>
        <w:rPr>
          <w:rStyle w:val="CollegamentoInternet"/>
        </w:rPr>
        <w:t>da</w:t>
      </w:r>
      <w:r>
        <w:rPr>
          <w:rStyle w:val="CollegamentoInternet"/>
        </w:rPr>
        <w:fldChar w:fldCharType="end"/>
      </w:r>
      <w:r>
        <w:rPr>
          <w:rStyle w:val="CollegamentoInternet"/>
          <w:i w:val="false"/>
          <w:iCs/>
        </w:rPr>
        <w:t>lla legge 14 luglio 2020, n. 74</w:t>
      </w:r>
      <w:r>
        <w:rPr/>
        <w:t xml:space="preserve">, recante «Ulteriori misure urgenti per fronteggiare l'emergenza epidemiologica da COVID-19»; </w:t>
      </w:r>
    </w:p>
    <w:p>
      <w:pPr>
        <w:pStyle w:val="NormalWeb"/>
        <w:spacing w:before="280" w:after="48"/>
        <w:jc w:val="both"/>
        <w:rPr/>
      </w:pPr>
      <w:r>
        <w:rPr/>
        <w:t xml:space="preserve">Visto il </w:t>
      </w:r>
      <w:r>
        <w:fldChar w:fldCharType="begin"/>
      </w:r>
      <w:r>
        <w:rPr>
          <w:rStyle w:val="Linkneltesto"/>
          <w:i w:val="false"/>
        </w:rPr>
        <w:instrText> HYPERLINK "http://https/entilocali.leggiditalia.it/" \l "id=10LX0000896582ART0,__m=document"</w:instrText>
      </w:r>
      <w:r>
        <w:rPr>
          <w:rStyle w:val="Linkneltesto"/>
          <w:i w:val="false"/>
        </w:rPr>
        <w:fldChar w:fldCharType="separate"/>
      </w:r>
      <w:r>
        <w:rPr>
          <w:rStyle w:val="Linkneltesto"/>
          <w:i w:val="false"/>
        </w:rPr>
        <w:t>decreto-legge 30 luglio 2020, n. 83</w:t>
      </w:r>
      <w:r>
        <w:rPr>
          <w:rStyle w:val="Linkneltesto"/>
          <w:i w:val="false"/>
        </w:rPr>
        <w:fldChar w:fldCharType="end"/>
      </w:r>
      <w:r>
        <w:rPr/>
        <w:t>, convertito, con modificazioni, d</w:t>
      </w:r>
      <w:r>
        <w:fldChar w:fldCharType="begin"/>
      </w:r>
      <w:r>
        <w:rPr>
          <w:rStyle w:val="CollegamentoInternet"/>
        </w:rPr>
        <w:instrText> HYPERLINK "http://https/entilocali.leggiditalia.it/" \l "id=10LX0000898817ART13,__m=document"</w:instrText>
      </w:r>
      <w:r>
        <w:rPr>
          <w:rStyle w:val="CollegamentoInternet"/>
        </w:rPr>
        <w:fldChar w:fldCharType="separate"/>
      </w:r>
      <w:r>
        <w:rPr>
          <w:rStyle w:val="CollegamentoInternet"/>
        </w:rPr>
        <w:t>a</w:t>
      </w:r>
      <w:r>
        <w:rPr>
          <w:rStyle w:val="CollegamentoInternet"/>
        </w:rPr>
        <w:fldChar w:fldCharType="end"/>
      </w:r>
      <w:r>
        <w:rPr>
          <w:rStyle w:val="CollegamentoInternet"/>
          <w:i w:val="false"/>
          <w:iCs/>
        </w:rPr>
        <w:t>lla legge 25 settembre 2020, n. 124</w:t>
      </w:r>
      <w:r>
        <w:rPr/>
        <w:t xml:space="preserve">, recante «Misure urgenti connesse con la scadenza della dichiarazione di emergenza epidemiologica da COVID-19 </w:t>
      </w:r>
      <w:r>
        <w:fldChar w:fldCharType="begin"/>
      </w:r>
      <w:r>
        <w:rPr>
          <w:rStyle w:val="Linkneltesto"/>
          <w:i w:val="false"/>
        </w:rPr>
        <w:instrText> HYPERLINK "http://https/entilocali.leggiditalia.it/" \l "id=10LX0000886619ART0,__m=document"</w:instrText>
      </w:r>
      <w:r>
        <w:rPr>
          <w:rStyle w:val="Linkneltesto"/>
          <w:i w:val="false"/>
        </w:rPr>
        <w:fldChar w:fldCharType="separate"/>
      </w:r>
      <w:r>
        <w:rPr>
          <w:rStyle w:val="Linkneltesto"/>
          <w:i w:val="false"/>
        </w:rPr>
        <w:t>deliberata il 31 gennaio 2020</w:t>
      </w:r>
      <w:r>
        <w:rPr>
          <w:rStyle w:val="Linkneltesto"/>
          <w:i w:val="false"/>
        </w:rPr>
        <w:fldChar w:fldCharType="end"/>
      </w:r>
      <w:r>
        <w:rPr/>
        <w:t xml:space="preserve">»; </w:t>
      </w:r>
    </w:p>
    <w:p>
      <w:pPr>
        <w:pStyle w:val="NormalWeb"/>
        <w:spacing w:before="280" w:after="48"/>
        <w:jc w:val="both"/>
        <w:rPr/>
      </w:pPr>
      <w:r>
        <w:rPr/>
        <w:t xml:space="preserve">Visto il </w:t>
      </w:r>
      <w:r>
        <w:fldChar w:fldCharType="begin"/>
      </w:r>
      <w:r>
        <w:rPr>
          <w:rStyle w:val="Linkneltesto"/>
          <w:i w:val="false"/>
        </w:rPr>
        <w:instrText> HYPERLINK "http://https/entilocali.leggiditalia.it/" \l "id=10LX0000899199ART0,__m=document"</w:instrText>
      </w:r>
      <w:r>
        <w:rPr>
          <w:rStyle w:val="Linkneltesto"/>
          <w:i w:val="false"/>
        </w:rPr>
        <w:fldChar w:fldCharType="separate"/>
      </w:r>
      <w:r>
        <w:rPr>
          <w:rStyle w:val="Linkneltesto"/>
          <w:i w:val="false"/>
        </w:rPr>
        <w:t>decreto-legge 7 ottobre 2020, n. 125</w:t>
      </w:r>
      <w:r>
        <w:rPr>
          <w:rStyle w:val="Linkneltesto"/>
          <w:i w:val="false"/>
        </w:rPr>
        <w:fldChar w:fldCharType="end"/>
      </w:r>
      <w:r>
        <w:rPr/>
        <w:t xml:space="preserve">, recante «Misure urgenti connesse con la proroga della dichiarazione dello stato di emergenza epidemiologica da COVID-19 e per la continuità operativa del sistema di allerta COVID, nonché per l'attuazione della </w:t>
      </w:r>
      <w:r>
        <w:fldChar w:fldCharType="begin"/>
      </w:r>
      <w:r>
        <w:rPr>
          <w:rStyle w:val="Linkneltesto"/>
          <w:i w:val="false"/>
        </w:rPr>
        <w:instrText> HYPERLINK "http://https/entilocali.leggiditalia.it/" \l "id=10LX0000893273ART0,__m=document"</w:instrText>
      </w:r>
      <w:r>
        <w:rPr>
          <w:rStyle w:val="Linkneltesto"/>
          <w:i w:val="false"/>
        </w:rPr>
        <w:fldChar w:fldCharType="separate"/>
      </w:r>
      <w:r>
        <w:rPr>
          <w:rStyle w:val="Linkneltesto"/>
          <w:i w:val="false"/>
        </w:rPr>
        <w:t>direttiva (UE) 2020/739 del 3 giugno 2020</w:t>
      </w:r>
      <w:r>
        <w:rPr>
          <w:rStyle w:val="Linkneltesto"/>
          <w:i w:val="false"/>
        </w:rPr>
        <w:fldChar w:fldCharType="end"/>
      </w:r>
      <w:r>
        <w:rPr/>
        <w:t xml:space="preserve">»; </w:t>
      </w:r>
    </w:p>
    <w:p>
      <w:pPr>
        <w:pStyle w:val="NormalWeb"/>
        <w:spacing w:before="280" w:after="48"/>
        <w:jc w:val="both"/>
        <w:rPr/>
      </w:pPr>
      <w:r>
        <w:rPr/>
        <w:t xml:space="preserve">Visto il </w:t>
      </w:r>
      <w:r>
        <w:fldChar w:fldCharType="begin"/>
      </w:r>
      <w:r>
        <w:rPr>
          <w:rStyle w:val="Linkneltesto"/>
          <w:i w:val="false"/>
        </w:rPr>
        <w:instrText> HYPERLINK "http://https/entilocali.leggiditalia.it/" \l "id=10LX0000899396ART0,__m=document"</w:instrText>
      </w:r>
      <w:r>
        <w:rPr>
          <w:rStyle w:val="Linkneltesto"/>
          <w:i w:val="false"/>
        </w:rPr>
        <w:fldChar w:fldCharType="separate"/>
      </w:r>
      <w:r>
        <w:rPr>
          <w:rStyle w:val="Linkneltesto"/>
          <w:i w:val="false"/>
        </w:rPr>
        <w:t>decreto del Presidente del Consiglio dei ministri 24 ottobre 2020</w:t>
      </w:r>
      <w:r>
        <w:rPr>
          <w:rStyle w:val="Linkneltesto"/>
          <w:i w:val="false"/>
        </w:rPr>
        <w:fldChar w:fldCharType="end"/>
      </w:r>
      <w:r>
        <w:rPr>
          <w:i/>
        </w:rPr>
        <w:t>,</w:t>
      </w:r>
      <w:r>
        <w:rPr/>
        <w:t xml:space="preserve"> recante «Ulteriori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pubblicato nella Gazzetta Ufficiale della Repubblica italiana n. 265 del 25 ottobre 2020;</w:t>
      </w:r>
    </w:p>
    <w:p>
      <w:pPr>
        <w:pStyle w:val="NormalWeb"/>
        <w:spacing w:before="280" w:after="48"/>
        <w:jc w:val="both"/>
        <w:rPr/>
      </w:pPr>
      <w:r>
        <w:rPr/>
        <w:t xml:space="preserve">Viste le Linee guida per la riapertura delle attività economiche, produttive e ricreative, come aggiornate nella Conferenza delle regioni e delle province autonome in data 8 ottobre 2020, di cui all'allegato 9, in relazione alle attività consentite dal presente decreto; </w:t>
      </w:r>
    </w:p>
    <w:p>
      <w:pPr>
        <w:pStyle w:val="NormalWeb"/>
        <w:spacing w:before="280" w:after="48"/>
        <w:jc w:val="both"/>
        <w:rPr/>
      </w:pPr>
      <w:r>
        <w:rPr/>
        <w:t xml:space="preserve">Viste le </w:t>
      </w:r>
      <w:r>
        <w:fldChar w:fldCharType="begin"/>
      </w:r>
      <w:r>
        <w:rPr>
          <w:rStyle w:val="Linkneltesto"/>
          <w:i w:val="false"/>
        </w:rPr>
        <w:instrText> HYPERLINK "http://https/entilocali.leggiditalia.it/" \l "id=10LX0000886619ART0,__m=document"</w:instrText>
      </w:r>
      <w:r>
        <w:rPr>
          <w:rStyle w:val="Linkneltesto"/>
          <w:i w:val="false"/>
        </w:rPr>
        <w:fldChar w:fldCharType="separate"/>
      </w:r>
      <w:r>
        <w:rPr>
          <w:rStyle w:val="Linkneltesto"/>
          <w:i w:val="false"/>
        </w:rPr>
        <w:t>delibere del Consiglio dei ministri del 31 gennaio 2020</w:t>
      </w:r>
      <w:r>
        <w:rPr>
          <w:rStyle w:val="Linkneltesto"/>
          <w:i w:val="false"/>
        </w:rPr>
        <w:fldChar w:fldCharType="end"/>
      </w:r>
      <w:r>
        <w:rPr>
          <w:i/>
        </w:rPr>
        <w:t xml:space="preserve">, </w:t>
      </w:r>
      <w:r>
        <w:fldChar w:fldCharType="begin"/>
      </w:r>
      <w:r>
        <w:rPr>
          <w:rStyle w:val="Linkneltesto"/>
          <w:i w:val="false"/>
        </w:rPr>
        <w:instrText> HYPERLINK "http://https/entilocali.leggiditalia.it/" \l "id=10LX0000896571ART0,__m=document"</w:instrText>
      </w:r>
      <w:r>
        <w:rPr>
          <w:rStyle w:val="Linkneltesto"/>
          <w:i w:val="false"/>
        </w:rPr>
        <w:fldChar w:fldCharType="separate"/>
      </w:r>
      <w:r>
        <w:rPr>
          <w:rStyle w:val="Linkneltesto"/>
          <w:i w:val="false"/>
        </w:rPr>
        <w:t>del 29 luglio 2020</w:t>
      </w:r>
      <w:r>
        <w:rPr>
          <w:rStyle w:val="Linkneltesto"/>
          <w:i w:val="false"/>
        </w:rPr>
        <w:fldChar w:fldCharType="end"/>
      </w:r>
      <w:r>
        <w:rPr>
          <w:i/>
        </w:rPr>
        <w:t xml:space="preserve"> </w:t>
      </w:r>
      <w:r>
        <w:rPr/>
        <w:t>e</w:t>
      </w:r>
      <w:r>
        <w:rPr>
          <w:i/>
        </w:rPr>
        <w:t xml:space="preserve"> </w:t>
      </w:r>
      <w:r>
        <w:fldChar w:fldCharType="begin"/>
      </w:r>
      <w:r>
        <w:rPr>
          <w:rStyle w:val="Linkneltesto"/>
          <w:i w:val="false"/>
        </w:rPr>
        <w:instrText> HYPERLINK "http://https/entilocali.leggiditalia.it/" \l "id=10LX0000899201ART0,__m=document"</w:instrText>
      </w:r>
      <w:r>
        <w:rPr>
          <w:rStyle w:val="Linkneltesto"/>
          <w:i w:val="false"/>
        </w:rPr>
        <w:fldChar w:fldCharType="separate"/>
      </w:r>
      <w:r>
        <w:rPr>
          <w:rStyle w:val="Linkneltesto"/>
          <w:i w:val="false"/>
        </w:rPr>
        <w:t>del 7 ottobre 2020</w:t>
      </w:r>
      <w:r>
        <w:rPr>
          <w:rStyle w:val="Linkneltesto"/>
          <w:i w:val="false"/>
        </w:rPr>
        <w:fldChar w:fldCharType="end"/>
      </w:r>
      <w:r>
        <w:rPr/>
        <w:t xml:space="preserve"> con le quali è stato dichiarato e prorogato lo stato di emergenza sul territorio nazionale relativo al rischio sanitario connesso all'insorgenza di patologie derivanti da agenti virali trasmissibili; </w:t>
      </w:r>
    </w:p>
    <w:p>
      <w:pPr>
        <w:pStyle w:val="NormalWeb"/>
        <w:spacing w:before="280" w:after="48"/>
        <w:jc w:val="both"/>
        <w:rPr/>
      </w:pPr>
      <w:r>
        <w:rPr/>
        <w:t xml:space="preserve">Vista la dichiarazione dell'Organizzazione mondiale della sanità dell'11 marzo 2020 con la quale l'epidemia da COVID-19 è stata valutata come «pandemia» in considerazione dei livelli di diffusività e gravità raggiunti a livello globale; </w:t>
      </w:r>
    </w:p>
    <w:p>
      <w:pPr>
        <w:pStyle w:val="NormalWeb"/>
        <w:spacing w:before="280" w:after="48"/>
        <w:jc w:val="both"/>
        <w:rPr/>
      </w:pPr>
      <w:r>
        <w:rPr/>
        <w:t xml:space="preserve">Considerati l'evolversi della situazione epidemiologica, il carattere particolarmente diffusivo dell'epidemia e l'incremento dei casi sul territorio nazionale; </w:t>
      </w:r>
    </w:p>
    <w:p>
      <w:pPr>
        <w:pStyle w:val="NormalWeb"/>
        <w:spacing w:before="280" w:after="48"/>
        <w:jc w:val="both"/>
        <w:rPr/>
      </w:pPr>
      <w:r>
        <w:rPr/>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pPr>
        <w:pStyle w:val="NormalWeb"/>
        <w:spacing w:before="280" w:after="48"/>
        <w:jc w:val="both"/>
        <w:rPr/>
      </w:pPr>
      <w:r>
        <w:rPr/>
        <w:t>Viste le risoluzioni approvate dalla Camera dei Deputati e dal Senato della Repubblica in data 2 novembre 2020;</w:t>
      </w:r>
    </w:p>
    <w:p>
      <w:pPr>
        <w:pStyle w:val="NormalWeb"/>
        <w:spacing w:before="280" w:after="48"/>
        <w:jc w:val="both"/>
        <w:rPr/>
      </w:pPr>
      <w:r>
        <w:rPr/>
        <w:t>Visti i verbali nn. 122 e 123 delle sedute del 31 ottobre e del 3 novembre 2020 del Comitato tecnico-scientifico di cui all’ordinanza del Capo del Dipartimento della protezione civile 3 febbraio 2020, n. 630, e successive modificazioni e integrazioni;</w:t>
      </w:r>
    </w:p>
    <w:p>
      <w:pPr>
        <w:pStyle w:val="NormalWeb"/>
        <w:spacing w:before="280" w:after="48"/>
        <w:jc w:val="both"/>
        <w:rPr/>
      </w:pPr>
      <w:r>
        <w:rPr/>
        <w:t>Considerato che l’osservazione formulata dalla Conferenza delle Regioni e delle Province autonome in merito alla necessità di un contraddittorio sui dati elaborati ed utilizzati secondo il procedimento descritto agli articoli  2 e  3 del decreto risulta soddisfatta in quanto 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Presidenti delle regioni interessate e che, inoltre, è stata riformulata la disposizione relativa alla declassificazione del livello di rischio o di scenario, come richiesto;</w:t>
      </w:r>
    </w:p>
    <w:p>
      <w:pPr>
        <w:pStyle w:val="NormalWeb"/>
        <w:spacing w:before="280" w:after="48"/>
        <w:jc w:val="both"/>
        <w:rPr/>
      </w:pPr>
      <w:r>
        <w:rPr/>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Presidente della Conferenza delle regioni e delle province autonome; </w:t>
      </w:r>
    </w:p>
    <w:p>
      <w:pPr>
        <w:pStyle w:val="Provvc"/>
        <w:spacing w:before="280" w:after="48"/>
        <w:rPr/>
      </w:pPr>
      <w:r>
        <w:rPr/>
        <w:t>Decreta:</w:t>
      </w:r>
    </w:p>
    <w:p>
      <w:pPr>
        <w:pStyle w:val="Normal"/>
        <w:spacing w:lineRule="auto" w:line="240" w:before="480"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w:t>
      </w:r>
    </w:p>
    <w:p>
      <w:pPr>
        <w:pStyle w:val="Normal"/>
        <w:spacing w:lineRule="auto" w:line="240" w:before="120"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Misure urgenti di contenimento del contagio sull'intero territorio nazionale</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per i soggetti che stanno svolgendo attività sportiva;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per i bambini di età inferiore ai sei anni; </w:t>
      </w:r>
    </w:p>
    <w:p>
      <w:pPr>
        <w:pStyle w:val="Normal"/>
        <w:spacing w:lineRule="auto" w:line="240" w:before="0" w:after="48"/>
        <w:ind w:firstLine="40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per i soggetti con patologie o disabilità incompatibili con l'uso della mascherina, nonché per coloro che per interagire con i predetti versino nella stessa incompatibilità. </w:t>
      </w:r>
    </w:p>
    <w:p>
      <w:pPr>
        <w:pStyle w:val="Normal"/>
        <w:spacing w:lineRule="auto" w:line="240" w:before="0"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È fortemente raccomandato l'uso dei dispositivi di protezione delle vie respiratorie anche all'interno delle abitazioni private in presenza di persone non conviventi.</w:t>
      </w:r>
    </w:p>
    <w:p>
      <w:pPr>
        <w:pStyle w:val="Normal"/>
        <w:spacing w:lineRule="auto" w:line="240" w:before="0"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È fatto obbligo di mantenere una distanza di sicurezza interpersonale di almeno un metro, fatte salve le eccezioni già previste e validate dal Comitato tecnico-scientifico di cui all'</w:t>
      </w:r>
      <w:r>
        <w:rPr>
          <w:rFonts w:eastAsia="Times New Roman" w:cs="Times New Roman" w:ascii="Times New Roman" w:hAnsi="Times New Roman"/>
          <w:iCs/>
          <w:sz w:val="24"/>
          <w:szCs w:val="24"/>
          <w:lang w:eastAsia="it-IT"/>
        </w:rPr>
        <w:t>articolo 2 dell'ordinanza 3 febbraio 2020, n. 630, del Capo del Dipartimento della protezione civile</w:t>
      </w:r>
      <w:r>
        <w:rPr>
          <w:rFonts w:eastAsia="Times New Roman" w:cs="Times New Roman" w:ascii="Times New Roman" w:hAnsi="Times New Roman"/>
          <w:sz w:val="24"/>
          <w:szCs w:val="24"/>
          <w:lang w:eastAsia="it-IT"/>
        </w:rPr>
        <w:t>.</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3. Dalle ore 22.00 alle ore 5.00 del giorno successivo sono consentiti esclusivamente gli spostamenti motivati da comprovate esigenze lavorative, da situazioni di necessità ovvero per motivi di salute. È in ogni caso fortemente raccomandato, per la restante parte della giornata, di non spostarsi, con mezzi di trasporto pubblici o privati, salvo che per esigenze lavorative, di studio, per motivi di salute, per situazioni di necessità o per svolgere attività o usufruire di servizi non sospesi. </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4. Delle strade o piazze nei centri urbani, dove si possono creare situazioni di assembramento, può essere disposta per tutta la giornata o in determinate fasce orarie la chiusura al pubblico, fatta salva la possibilità di accesso e deflusso, agli esercizi commerciali legittimamente aperti e alle abitazioni private.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5. È fatto obbligo nei locali pubblici e aperti al pubblico, nonché in tutti gli esercizi commerciali di esporre all’ingresso del locale un cartello che riporti il numero massimo di persone ammesse contemporaneamente nel locale medesimo, sulla base dei protocolli e delle linee guida vigenti.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6. Le disposizioni di cui ai commi 1 e 2 sono comunque derogabili esclusivamente con Protocolli validati dal Comitato tecnico-scientifico di cui all'</w:t>
      </w:r>
      <w:r>
        <w:rPr>
          <w:rFonts w:eastAsia="Times New Roman" w:cs="Times New Roman" w:ascii="Times New Roman" w:hAnsi="Times New Roman"/>
          <w:iCs/>
          <w:sz w:val="24"/>
          <w:szCs w:val="24"/>
          <w:lang w:eastAsia="it-IT"/>
        </w:rPr>
        <w:t>articolo 2 dell'ordinanza 3 febbraio 2020, n. 630, del Capo del Dipartimento della protezione civile</w:t>
      </w:r>
      <w:r>
        <w:rPr>
          <w:rFonts w:eastAsia="Times New Roman" w:cs="Times New Roman" w:ascii="Times New Roman" w:hAnsi="Times New Roman"/>
          <w:sz w:val="24"/>
          <w:szCs w:val="24"/>
          <w:lang w:eastAsia="it-IT"/>
        </w:rPr>
        <w:t>.</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7. Ai fini di cui al comma 1, possono essere utilizzate anche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w:t>
      </w:r>
      <w:bookmarkStart w:id="0" w:name="4up"/>
      <w:r>
        <w:rPr>
          <w:rFonts w:eastAsia="Times New Roman" w:cs="Times New Roman" w:ascii="Times New Roman" w:hAnsi="Times New Roman"/>
          <w:sz w:val="24"/>
          <w:szCs w:val="24"/>
          <w:lang w:eastAsia="it-IT"/>
        </w:rPr>
        <w:t>a del naso.</w:t>
      </w:r>
      <w:bookmarkEnd w:id="0"/>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8. L'utilizzo dei dispositivi di protezione delle vie respiratorie si aggiunge alle altre misure di protezione finalizzate alla riduzione del contagio (come il distanziamento fisico e l'igiene costante e accurata delle mani) che r</w:t>
      </w:r>
      <w:bookmarkStart w:id="1" w:name="5up"/>
      <w:r>
        <w:rPr>
          <w:rFonts w:eastAsia="Times New Roman" w:cs="Times New Roman" w:ascii="Times New Roman" w:hAnsi="Times New Roman"/>
          <w:sz w:val="24"/>
          <w:szCs w:val="24"/>
          <w:lang w:eastAsia="it-IT"/>
        </w:rPr>
        <w:t>estano invariate e prioritarie.</w:t>
      </w:r>
      <w:bookmarkEnd w:id="1"/>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9. Allo scopo di contrastare e contenere il diffondersi del virus COVID-19 sull'intero territorio nazionale si applicano le seguenti misure:</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 i soggetti con infezione respiratoria caratterizzata da febbre (maggiore di 37,5°</w:t>
      </w:r>
      <w:r>
        <w:rPr>
          <w:rFonts w:eastAsia="Times New Roman" w:cs="Times New Roman" w:ascii="Times New Roman" w:hAnsi="Times New Roman"/>
          <w:vanish/>
          <w:sz w:val="24"/>
          <w:szCs w:val="24"/>
          <w:lang w:eastAsia="it-IT"/>
        </w:rPr>
        <w:t>(gradi)</w:t>
      </w:r>
      <w:r>
        <w:rPr>
          <w:rFonts w:eastAsia="Times New Roman" w:cs="Times New Roman" w:ascii="Times New Roman" w:hAnsi="Times New Roman"/>
          <w:sz w:val="24"/>
          <w:szCs w:val="24"/>
          <w:lang w:eastAsia="it-IT"/>
        </w:rPr>
        <w:t xml:space="preserve">) devono rimanere presso il proprio domicilio, contattando il proprio medico curante;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b) l'accesso del pubblico ai parchi, alle ville e ai giardini pubblici è condizionato al rigoroso rispetto del divieto di assembramento di cui all’</w:t>
      </w:r>
      <w:r>
        <w:rPr>
          <w:rFonts w:eastAsia="Times New Roman" w:cs="Times New Roman" w:ascii="Times New Roman" w:hAnsi="Times New Roman"/>
          <w:iCs/>
          <w:sz w:val="24"/>
          <w:szCs w:val="24"/>
          <w:lang w:eastAsia="it-IT"/>
        </w:rPr>
        <w:t>articolo 1, comma 8, primo periodo, del decreto-legge 16 maggio 2020, n. 33</w:t>
      </w:r>
      <w:r>
        <w:rPr>
          <w:rFonts w:eastAsia="Times New Roman" w:cs="Times New Roman" w:ascii="Times New Roman" w:hAnsi="Times New Roman"/>
          <w:sz w:val="24"/>
          <w:szCs w:val="24"/>
          <w:lang w:eastAsia="it-IT"/>
        </w:rPr>
        <w:t xml:space="preserve">, convertito, con modificazioni, dalla legge 14 luglio 2020, n. 74, 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sono sospese le attività dei parchi tematici e di divertimento; 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pPr>
        <w:pStyle w:val="ListParagraph"/>
        <w:numPr>
          <w:ilvl w:val="0"/>
          <w:numId w:val="6"/>
        </w:numPr>
        <w:spacing w:before="0" w:after="48"/>
        <w:ind w:left="0" w:right="117" w:firstLine="426"/>
        <w:rPr>
          <w:sz w:val="24"/>
          <w:szCs w:val="24"/>
        </w:rPr>
      </w:pPr>
      <w:r>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dalle rispettive Federazioni sportive nazionali, discipline sportive associate e Enti di promozione sportiva;</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f) </w:t>
      </w:r>
      <w:r>
        <w:rPr>
          <w:rFonts w:eastAsia="Times New Roman" w:cs="Times New Roman" w:ascii="Times New Roman" w:hAnsi="Times New Roman"/>
          <w:iCs/>
          <w:sz w:val="24"/>
          <w:szCs w:val="24"/>
          <w:lang w:eastAsia="it-IT"/>
        </w:rPr>
        <w:t>sono sospese le attività di palestre, piscine, centri natatori, centri benessere, centri termali, fatta eccezione per l’erogazione delle prestazioni rientranti nei livelli essenziali di assistenza e per le attività riabilitative o terapeutiche,</w:t>
      </w: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iCs/>
          <w:sz w:val="24"/>
          <w:szCs w:val="24"/>
          <w:lang w:eastAsia="it-IT"/>
        </w:rPr>
        <w:t xml:space="preserve">nonché centri culturali, centri sociali e centri ricreativi; ferma restando la sospensione delle attività di piscine e palestre, </w:t>
      </w:r>
      <w:r>
        <w:rPr>
          <w:rFonts w:eastAsia="Times New Roman" w:cs="Times New Roman" w:ascii="Times New Roman" w:hAnsi="Times New Roman"/>
          <w:sz w:val="24"/>
          <w:szCs w:val="24"/>
          <w:lang w:eastAsia="it-IT"/>
        </w:rPr>
        <w:t xml:space="preserve">l'attività sportiva di base e l'attività motoria in genere svolte all’aperto presso centri e circoli sportivi, pubblici e privati, sono consentite nel rispetto delle norme di distanziamento sociale e senza alcun assembramento, in conformità con le linee guida emanate dall'Ufficio per lo sport, sentita la Federazione medico sportiva italiana (FMSI), </w:t>
      </w:r>
      <w:r>
        <w:rPr>
          <w:rFonts w:cs="Times New Roman" w:ascii="Times New Roman" w:hAnsi="Times New Roman"/>
          <w:sz w:val="24"/>
          <w:szCs w:val="24"/>
        </w:rPr>
        <w:t>con la prescrizione che è interdetto l’uso di spogliatoi interni a detti circoli</w:t>
      </w:r>
      <w:r>
        <w:rPr>
          <w:rFonts w:eastAsia="Times New Roman" w:cs="Times New Roman" w:ascii="Times New Roman" w:hAnsi="Times New Roman"/>
          <w:sz w:val="24"/>
          <w:szCs w:val="24"/>
          <w:lang w:eastAsia="it-IT"/>
        </w:rPr>
        <w:t>; sono consentite le attività dei centri di riabilitazione, nonché quelle dei centri di addestramento e delle strutture dedicate esclusivamente al mantenimento dell’efficienza operativa in uso al Comparto Difesa, Sicurezza e Soccorso pubblico, che si svolgono nel rispetto dei protocolli e delle linee guida vigenti;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48"/>
        <w:ind w:firstLine="426"/>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  fatto salvo quanto previsto alla lettera </w:t>
      </w:r>
      <w:r>
        <w:rPr>
          <w:rFonts w:eastAsia="Times New Roman" w:cs="Times New Roman" w:ascii="Times New Roman" w:hAnsi="Times New Roman"/>
          <w:i/>
          <w:sz w:val="24"/>
          <w:szCs w:val="24"/>
          <w:lang w:eastAsia="it-IT"/>
        </w:rPr>
        <w:t>e)</w:t>
      </w:r>
      <w:r>
        <w:rPr/>
        <w:t xml:space="preserve"> </w:t>
      </w:r>
      <w:r>
        <w:rPr>
          <w:rFonts w:eastAsia="Times New Roman" w:cs="Times New Roman" w:ascii="Times New Roman" w:hAnsi="Times New Roman"/>
          <w:sz w:val="24"/>
          <w:szCs w:val="24"/>
          <w:lang w:eastAsia="it-IT"/>
        </w:rPr>
        <w:t>in ordine agli eventi e alle competizioni sportive di interesse nazionale, lo svolgimento degli sport di contatto, come individuati con provvedimento del Ministro per le politiche giovanili e lo sport, è sospeso; sono altresì sospese l’attività sportiva dilettantistica di base, le scuole e l’attività formativa di avviamento relative agli sport di contatto nonché tutte le gare, le competizioni e le attività connesse agli sport di contatto, anche se aventi carattere ludico-amatoriale;</w:t>
      </w:r>
      <w:r>
        <w:rPr>
          <w:rFonts w:eastAsia="Times New Roman" w:cs="Courier New" w:ascii="Courier New" w:hAnsi="Courier New"/>
          <w:strike/>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h) al fine di consentire il regolare svolgimento delle competizioni sportive di cui alla lettera </w:t>
      </w:r>
      <w:r>
        <w:rPr>
          <w:rFonts w:eastAsia="Times New Roman" w:cs="Times New Roman" w:ascii="Times New Roman" w:hAnsi="Times New Roman"/>
          <w:i/>
          <w:sz w:val="24"/>
          <w:szCs w:val="24"/>
          <w:lang w:eastAsia="it-IT"/>
        </w:rPr>
        <w:t>e)</w:t>
      </w:r>
      <w:r>
        <w:rPr>
          <w:rFonts w:eastAsia="Times New Roman" w:cs="Times New Roman" w:ascii="Times New Roman" w:hAnsi="Times New Roman"/>
          <w:sz w:val="24"/>
          <w:szCs w:val="24"/>
          <w:lang w:eastAsia="it-IT"/>
        </w:rPr>
        <w:t xml:space="preserve">,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nella dichiarazione di cui all'articolo 7, comma 1, e verificato dal vettore ai sensi dell'articolo 9.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 i soggetti interessati sono autorizzati a prendere parte alla competizione sportiva internazionale sul territorio italiano, in conformità con lo specifico protocollo adottato dall'ente sportivo organizzatore dell'evento;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lo svolgimento delle manifestazioni pubbliche è consentito soltanto in forma statica, a condizione che, nel corso di esse, siano osservate le distanze sociali prescritte e le altre misure di contenimento, nel rispetto delle prescrizioni imposte dal questore ai sensi dell'</w:t>
      </w:r>
      <w:r>
        <w:rPr>
          <w:rFonts w:eastAsia="Times New Roman" w:cs="Times New Roman" w:ascii="Times New Roman" w:hAnsi="Times New Roman"/>
          <w:iCs/>
          <w:sz w:val="24"/>
          <w:szCs w:val="24"/>
          <w:lang w:eastAsia="it-IT"/>
        </w:rPr>
        <w:t>articolo 18 del testo unico delle leggi di pubblica sicurezza di cui al regio decreto 18 giugno 1931, n. 773</w:t>
      </w:r>
      <w:r>
        <w:rPr>
          <w:rFonts w:eastAsia="Times New Roman" w:cs="Times New Roman" w:ascii="Times New Roman" w:hAnsi="Times New Roman"/>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 sono sospese le attività di sale giochi, sale scommesse, sale bingo e casinò, anche se svolte all’interno di locali adibiti ad attività differente;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m) sono sospesi gli spettacoli aperti al pubblico in sale teatrali, sale da concerto, sale cinematografiche e in altri spazi anche all'aperto;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n) restano comunque sospese le attività che abbiano luogo in sale da ballo e discoteche e locali assimilati, all'aperto o al chiuso. Sono vietate le feste nei luoghi al chiuso e all’aperto, ivi comprese quelle conseguenti alle cerimonie civili e religiose.  Con riguardo alle abitazioni private, è fortemente raccomandato di non ricevere persone diverse dai conviventi, salvo che per esigenze lavorative o situazioni di necessità e urgenza. Sono vietate le sagre, le fiere di qualunque genere e gli altri analoghi eventi;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o) sono sospesi i convegni, i congressi e gli altri eventi, ad eccezione di quelli che si svolgono con modalità a distanza; tutte le cerimonie pubbliche si svolgono nel rispetto dei protocolli e linee guida vigenti e in assenza di pubblico; nell'ambito delle pubbliche amministrazioni le riunioni si svolgono in modalità a distanza, salvo la sussistenza di motivate ragioni; è fortemente raccomandato svolgere anche le riunioni private in modalità a distanza;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p) l'accesso ai luoghi di culto avviene con misure organizzative tali da evitare assembramenti di persone, tenendo conto delle dimensioni e delle caratteristiche dei luoghi, e tali da garantire ai frequentatori la possibilità di rispettare la distanza tra loro di almeno un metro;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q) le funzioni religiose con la partecipazione di persone si svolgono nel rispetto dei protocolli sottoscritti dal Governo e dalle rispettive confessioni di cui agli allegati da 1, integrato con le successive indicazioni del Comitato tecnico-scientifico, a 7;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r) sono sospesi le mostre e i servizi di apertura al pubblico dei musei e degli altri istituti e luoghi della cultura di cui all'</w:t>
      </w:r>
      <w:r>
        <w:rPr>
          <w:rFonts w:eastAsia="Times New Roman" w:cs="Times New Roman" w:ascii="Times New Roman" w:hAnsi="Times New Roman"/>
          <w:iCs/>
          <w:sz w:val="24"/>
          <w:szCs w:val="24"/>
          <w:lang w:eastAsia="it-IT"/>
        </w:rPr>
        <w:t>articolo 101 del codice dei beni culturali e del paesaggio, di cui al decreto legislativo 22 gennaio 2004, n. 42</w:t>
      </w:r>
      <w:r>
        <w:rPr>
          <w:rFonts w:eastAsia="Times New Roman" w:cs="Times New Roman" w:ascii="Times New Roman" w:hAnsi="Times New Roman"/>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s)  le istituzioni scolastiche secondarie di secondo grado adottano forme flessibili nell'organizzazione dell'attività didattica ai sensi degli </w:t>
      </w:r>
      <w:r>
        <w:rPr>
          <w:rFonts w:eastAsia="Times New Roman" w:cs="Times New Roman" w:ascii="Times New Roman" w:hAnsi="Times New Roman"/>
          <w:iCs/>
          <w:sz w:val="24"/>
          <w:szCs w:val="24"/>
          <w:lang w:eastAsia="it-IT"/>
        </w:rPr>
        <w:t>articoli 4</w:t>
      </w:r>
      <w:r>
        <w:rPr>
          <w:rFonts w:eastAsia="Times New Roman" w:cs="Times New Roman" w:ascii="Times New Roman" w:hAnsi="Times New Roman"/>
          <w:sz w:val="24"/>
          <w:szCs w:val="24"/>
          <w:lang w:eastAsia="it-IT"/>
        </w:rPr>
        <w:t xml:space="preserve"> e </w:t>
      </w:r>
      <w:r>
        <w:rPr>
          <w:rFonts w:eastAsia="Times New Roman" w:cs="Times New Roman" w:ascii="Times New Roman" w:hAnsi="Times New Roman"/>
          <w:iCs/>
          <w:sz w:val="24"/>
          <w:szCs w:val="24"/>
          <w:lang w:eastAsia="it-IT"/>
        </w:rPr>
        <w:t>5 del decreto del Presidente della Repubblica 8 marzo 1999, n. 275</w:t>
      </w:r>
      <w:r>
        <w:rPr>
          <w:rFonts w:eastAsia="Times New Roman" w:cs="Times New Roman" w:ascii="Times New Roman" w:hAnsi="Times New Roman"/>
          <w:sz w:val="24"/>
          <w:szCs w:val="24"/>
          <w:lang w:eastAsia="it-IT"/>
        </w:rPr>
        <w:t>, in modo che il 100 per cento delle attività sia svolta tramite il ricorso alla didattica digitale integrata. Resta salva la possibilità di svolgere attività in presenza qualora sia necessario l’uso di laboratori o in ragione di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on line con gli alunni della classe che sono in didattica digitale integrata. L’attività didattica ed educativa per la scuola dell’infanzia, il primo ciclo di istruzione e per i servizi educativi per l’infanzia continua a svolgersi in presenza, con uso obbligatorio di dispositivi di protezione delle vie respiratorie salvo che per i bambini di età inferiore ai sei anni e per i soggetti con patologie o disabilità incompatibili con l'uso della mascherina. I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Pr>
          <w:rFonts w:eastAsia="Times New Roman" w:cs="Times New Roman" w:ascii="Times New Roman" w:hAnsi="Times New Roman"/>
          <w:iCs/>
          <w:sz w:val="24"/>
          <w:szCs w:val="24"/>
          <w:lang w:eastAsia="it-IT"/>
        </w:rPr>
        <w:t>articolo 121 del decreto legislativo 30 aprile 1992, n. 285</w:t>
      </w:r>
      <w:r>
        <w:rPr>
          <w:rFonts w:eastAsia="Times New Roman" w:cs="Times New Roman" w:ascii="Times New Roman" w:hAnsi="Times New Roman"/>
          <w:sz w:val="24"/>
          <w:szCs w:val="24"/>
          <w:lang w:eastAsia="it-IT"/>
        </w:rPr>
        <w:t xml:space="preserve"> da espletarsi nel territorio regionale e la proroga dei termini previsti dagli </w:t>
      </w:r>
      <w:r>
        <w:rPr>
          <w:rFonts w:eastAsia="Times New Roman" w:cs="Times New Roman" w:ascii="Times New Roman" w:hAnsi="Times New Roman"/>
          <w:iCs/>
          <w:sz w:val="24"/>
          <w:szCs w:val="24"/>
          <w:lang w:eastAsia="it-IT"/>
        </w:rPr>
        <w:t>articoli 121</w:t>
      </w:r>
      <w:r>
        <w:rPr>
          <w:rFonts w:eastAsia="Times New Roman" w:cs="Times New Roman" w:ascii="Times New Roman" w:hAnsi="Times New Roman"/>
          <w:sz w:val="24"/>
          <w:szCs w:val="24"/>
          <w:lang w:eastAsia="it-IT"/>
        </w:rPr>
        <w:t xml:space="preserve"> e </w:t>
      </w:r>
      <w:r>
        <w:rPr>
          <w:rFonts w:eastAsia="Times New Roman" w:cs="Times New Roman" w:ascii="Times New Roman" w:hAnsi="Times New Roman"/>
          <w:iCs/>
          <w:sz w:val="24"/>
          <w:szCs w:val="24"/>
          <w:lang w:eastAsia="it-IT"/>
        </w:rPr>
        <w:t>122 del citato decreto legislativo</w:t>
      </w:r>
      <w:r>
        <w:rPr>
          <w:rFonts w:eastAsia="Times New Roman" w:cs="Times New Roman" w:ascii="Times New Roman" w:hAnsi="Times New Roman"/>
          <w:sz w:val="24"/>
          <w:szCs w:val="24"/>
          <w:lang w:eastAsia="it-IT"/>
        </w:rPr>
        <w:t xml:space="preserve"> in favore dei candidati che non hanno potuto sostenere dette prove. Sono altresì consentiti gli esami di qualifica dei percorsi di IeFP, secondo le disposizioni emanate dalle singole Regioni, nonché i corsi di formazione da effettuarsi in materia di salute e sicurezza, a condizione che siano rispettate le misure di cui al «Documento tecnico sulla possibile rimodulazione delle misure di contenimento del contagio da SARS-CoV-2 nei luoghi di lavoro e strategie di prevenzione» pubblicato dall'INAIL. Al fine di mantenere il distanziamento sociale, è da escludersi qualsiasi altra forma di aggregazione alternativa.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 L'ente proprietario dell'immobile può autorizzare, in raccordo con le istituzioni scolastiche, l'ente gestore ad utilizzarne gli spazi per l'organizzazione e lo svolgimento di attività ludiche, ricreative ed educative, 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8 e di procedere alle attività di pulizia e igienizzazione necessarie. Alle medesime condizioni, possono essere utilizzati anche centri sportivi pubblici o privati;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t)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w:t>
      </w:r>
      <w:r>
        <w:rPr>
          <w:rFonts w:eastAsia="Times New Roman" w:cs="Times New Roman" w:ascii="Times New Roman" w:hAnsi="Times New Roman"/>
          <w:iCs/>
          <w:sz w:val="24"/>
          <w:szCs w:val="24"/>
          <w:lang w:eastAsia="it-IT"/>
        </w:rPr>
        <w:t>decreto del Ministro dell'istruzione, dell'università e della ricerca 10 settembre 2010, n. 249</w:t>
      </w:r>
      <w:r>
        <w:rPr>
          <w:rFonts w:eastAsia="Times New Roman" w:cs="Times New Roman" w:ascii="Times New Roman" w:hAnsi="Times New Roman"/>
          <w:sz w:val="24"/>
          <w:szCs w:val="24"/>
          <w:lang w:eastAsia="it-IT"/>
        </w:rPr>
        <w:t xml:space="preserve">, da svolgersi nei casi in cui sia possibile garantire il rispetto delle prescrizioni sanitarie e di sicurezza vigenti; </w:t>
      </w:r>
    </w:p>
    <w:p>
      <w:pPr>
        <w:pStyle w:val="Normal"/>
        <w:spacing w:lineRule="auto" w:line="240" w:before="0" w:after="48"/>
        <w:ind w:firstLine="426"/>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 </w:t>
      </w:r>
    </w:p>
    <w:p>
      <w:pPr>
        <w:pStyle w:val="Normal"/>
        <w:spacing w:lineRule="auto" w:line="240" w:before="0" w:after="48"/>
        <w:ind w:firstLine="425"/>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v)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pPr>
        <w:pStyle w:val="Body1"/>
        <w:spacing w:before="0" w:after="48"/>
        <w:ind w:firstLine="425"/>
        <w:jc w:val="both"/>
        <w:rPr>
          <w:rFonts w:ascii="Times New Roman" w:hAnsi="Times New Roman"/>
          <w:szCs w:val="24"/>
        </w:rPr>
      </w:pPr>
      <w:r>
        <w:rPr>
          <w:rFonts w:ascii="Times New Roman" w:hAnsi="Times New Roman"/>
          <w:szCs w:val="24"/>
        </w:rPr>
        <w:t xml:space="preserve">z) è sospeso lo svolgimento delle prove preselettive e scritte delle procedure concorsuali pubbliche e private e di quelle di abilitazione all’esercizio delle professioni, a esclusione dei casi in cui la valutazione dei candidati sia effettuata esclusivamente su basi curriculari ovvero in modalità telematica, nonché ad esclusione dei concorsi per il personale del servizio sanitario nazionale,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 Resta ferma la possibilità per le commissioni di procedere alla correzione delle prove scritte con collegamento da remoto;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aa)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delle Forze armate, del Sistema di informazione per la sicurezza della Repubblica e del Corpo nazionale dei Vigili del fuoco,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 del Sistema di informazione per la sicurezza della Repubblica e del Corpo nazionale dei Vigili del fuoco, al fine di prevenire possibili fenomeni di diffusione del contagio da COVID-19, si applica quanto previsto dagli </w:t>
      </w:r>
      <w:r>
        <w:rPr>
          <w:rFonts w:eastAsia="Times New Roman" w:cs="Times New Roman" w:ascii="Times New Roman" w:hAnsi="Times New Roman"/>
          <w:iCs/>
          <w:sz w:val="24"/>
          <w:szCs w:val="24"/>
          <w:lang w:eastAsia="it-IT"/>
        </w:rPr>
        <w:t>articoli 259</w:t>
      </w:r>
      <w:r>
        <w:rPr>
          <w:rFonts w:eastAsia="Times New Roman" w:cs="Times New Roman" w:ascii="Times New Roman" w:hAnsi="Times New Roman"/>
          <w:sz w:val="24"/>
          <w:szCs w:val="24"/>
          <w:lang w:eastAsia="it-IT"/>
        </w:rPr>
        <w:t xml:space="preserve"> e </w:t>
      </w:r>
      <w:r>
        <w:rPr>
          <w:rFonts w:eastAsia="Times New Roman" w:cs="Times New Roman" w:ascii="Times New Roman" w:hAnsi="Times New Roman"/>
          <w:iCs/>
          <w:sz w:val="24"/>
          <w:szCs w:val="24"/>
          <w:lang w:eastAsia="it-IT"/>
        </w:rPr>
        <w:t>260 del decreto-legge 19 maggio 2020, n. 34</w:t>
      </w:r>
      <w:r>
        <w:rPr>
          <w:rFonts w:eastAsia="Times New Roman" w:cs="Times New Roman" w:ascii="Times New Roman" w:hAnsi="Times New Roman"/>
          <w:sz w:val="24"/>
          <w:szCs w:val="24"/>
          <w:lang w:eastAsia="it-IT"/>
        </w:rPr>
        <w:t xml:space="preserve">, convertito, con modificazioni, dalla </w:t>
      </w:r>
      <w:r>
        <w:rPr>
          <w:rFonts w:eastAsia="Times New Roman" w:cs="Times New Roman" w:ascii="Times New Roman" w:hAnsi="Times New Roman"/>
          <w:iCs/>
          <w:sz w:val="24"/>
          <w:szCs w:val="24"/>
          <w:lang w:eastAsia="it-IT"/>
        </w:rPr>
        <w:t>legge 17 luglio 2020, n. 77</w:t>
      </w:r>
      <w:r>
        <w:rPr>
          <w:rFonts w:eastAsia="Times New Roman" w:cs="Times New Roman" w:ascii="Times New Roman" w:hAnsi="Times New Roman"/>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bb) i periodi di assenza dai corsi di formazione di cui alla lettera </w:t>
      </w:r>
      <w:r>
        <w:rPr>
          <w:rFonts w:eastAsia="Times New Roman" w:cs="Times New Roman" w:ascii="Times New Roman" w:hAnsi="Times New Roman"/>
          <w:i/>
          <w:sz w:val="24"/>
          <w:szCs w:val="24"/>
          <w:lang w:eastAsia="it-IT"/>
        </w:rPr>
        <w:t>aa)</w:t>
      </w:r>
      <w:r>
        <w:rPr>
          <w:rFonts w:eastAsia="Times New Roman" w:cs="Times New Roman" w:ascii="Times New Roman" w:hAnsi="Times New Roman"/>
          <w:sz w:val="24"/>
          <w:szCs w:val="24"/>
          <w:lang w:eastAsia="it-IT"/>
        </w:rPr>
        <w:t xml:space="preserve">, comunque connessi al fenomeno epidemiologico da COVID-19, non concorrono al raggiungimento del limite di assenze il cui superamento comporta il rinvio, l'ammissione al recupero dell'anno o la dimissione dai medesimi corsi;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cc) è fatto divieto agli accompagnatori dei pazienti di permanere nelle sale di attesa dei dipartimenti emergenze e accettazione e dei pronto soccorso (DEA/PS), salve specifiche diverse indicazioni del personale sanitario preposto;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dd) l'accesso di parenti e visitatori a strutture di ospitalità e lungo degenza, residenze sanitarie assistite (RSA), hospice, strutture riabilitative e strutture residenziali per anziani, autosufficienti e non, è limitata ai soli casi indicati dalla direzione sanitaria della struttura, che è tenuta ad adottare le misure necessarie a prevenire possibili trasmissioni di infezione;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ff)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Si raccomanda altresì l'applicazione delle misure di cui all'allegato 11; nelle giornate festive e prefestive sono chiusi gli esercizi commerciali presenti all'interno dei centri commerciali e dei mercati, a eccezione delle farmacie, parafarmacie, presidi sanitari, punti vendita di generi alimentari, tabacchi ed edicole;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gg) le attività dei servizi di ristorazione (fra cui bar, pub, ristoranti, gelaterie, pasticcerie) sono consentite dalle ore 5.00 fino alle ore 18.00; il consumo al tavolo è consentito per un massimo di quattro persone per tavolo, salvo che siano tutti conviventi; dopo le ore 18,00 è vietato il consumo di cibi e bevande nei luoghi pubblici e aperti al pubblico; resta consentita senza limiti di orario la ristorazione negli alberghi e in altre strutture ricettive limitatamente ai propri clienti, che siano ivi alloggiati; resta sempre consentita la  ristorazione con consegna a domicilio nel rispetto delle norme igienico-sanitarie sia per l’attività di confezionamento che di trasporto, nonché fino alle ore 22,00 la ristorazione con asporto, con divieto di consumazione sul posto o nelle adiacenze; le attività di cui al primo periodo restano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continuano a essere consentite le attività delle mense e del catering continuativo su base contrattuale, che garantiscono la distanza di sicurezza interpersonale di almeno un metro, nei limiti e alle condizioni di cui al periodo precedente;</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hh) 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 </w:t>
      </w:r>
      <w:r>
        <w:fldChar w:fldCharType="begin"/>
      </w:r>
      <w:r>
        <w:rPr>
          <w:sz w:val="24"/>
          <w:szCs w:val="24"/>
          <w:rFonts w:eastAsia="Times New Roman" w:cs="Times New Roman" w:ascii="Times New Roman" w:hAnsi="Times New Roman"/>
          <w:lang w:eastAsia="it-IT"/>
        </w:rPr>
        <w:instrText> HYPERLINK "http://pa.leggiditalia.it/rest?print=1" \l "14"</w:instrText>
      </w:r>
      <w:r>
        <w:rPr>
          <w:sz w:val="24"/>
          <w:szCs w:val="24"/>
          <w:rFonts w:eastAsia="Times New Roman" w:cs="Times New Roman" w:ascii="Times New Roman" w:hAnsi="Times New Roman"/>
          <w:lang w:eastAsia="it-IT"/>
        </w:rPr>
        <w:fldChar w:fldCharType="separate"/>
      </w:r>
      <w:bookmarkStart w:id="2" w:name="14up"/>
      <w:bookmarkEnd w:id="2"/>
      <w:r>
        <w:rPr>
          <w:rFonts w:eastAsia="Times New Roman" w:cs="Times New Roman" w:ascii="Times New Roman" w:hAnsi="Times New Roman"/>
          <w:sz w:val="24"/>
          <w:szCs w:val="24"/>
          <w:lang w:eastAsia="it-IT"/>
        </w:rPr>
        <w:t xml:space="preserve"> </w:t>
      </w:r>
      <w:r>
        <w:rPr>
          <w:sz w:val="24"/>
          <w:szCs w:val="24"/>
          <w:rFonts w:eastAsia="Times New Roman" w:cs="Times New Roman" w:ascii="Times New Roman" w:hAnsi="Times New Roman"/>
          <w:lang w:eastAsia="it-IT"/>
        </w:rPr>
        <w:fldChar w:fldCharType="end"/>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ii)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pPr>
        <w:pStyle w:val="Normal"/>
        <w:spacing w:lineRule="auto" w:line="240" w:before="0" w:after="48"/>
        <w:ind w:firstLine="425"/>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ll) restano garantiti, nel rispetto delle norme igienico-sanitarie, i servizi bancari, finanziari, assicurativi nonché l'attività del settore agricolo, zootecnico di trasformazione agro-alimentare comprese le filiere che ne forniscono beni e servizi; </w:t>
      </w:r>
    </w:p>
    <w:p>
      <w:pPr>
        <w:pStyle w:val="Normal"/>
        <w:spacing w:lineRule="auto" w:line="240" w:before="0" w:after="48"/>
        <w:ind w:firstLine="425"/>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mm) </w:t>
      </w:r>
      <w:r>
        <w:rPr>
          <w:rStyle w:val="S1"/>
          <w:rFonts w:cs="Times New Roman" w:ascii="Times New Roman" w:hAnsi="Times New Roman"/>
          <w:sz w:val="24"/>
          <w:szCs w:val="24"/>
        </w:rPr>
        <w:t xml:space="preserve">a bordo dei mezzi pubblici del trasporto locale e del trasporto ferroviario regionale, con esclusione del trasporto scolastico dedicato, è consentito un coefficiente di riempimento non superiore al 50 per cento; </w:t>
      </w:r>
      <w:r>
        <w:rPr>
          <w:rFonts w:eastAsia="Times New Roman" w:cs="Times New Roman" w:ascii="Times New Roman" w:hAnsi="Times New Roman"/>
          <w:sz w:val="24"/>
          <w:szCs w:val="24"/>
        </w:rPr>
        <w:t xml:space="preserve">detto coefficiente sostituisce quelli diversi previsti nei protocolli e linee guida vigenti; il 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 agli armatori; </w:t>
      </w:r>
    </w:p>
    <w:p>
      <w:pPr>
        <w:pStyle w:val="Normal"/>
        <w:spacing w:lineRule="auto" w:line="240" w:before="0" w:after="48"/>
        <w:jc w:val="both"/>
        <w:rPr>
          <w:rFonts w:eastAsia="Times New Roman"/>
        </w:rPr>
      </w:pPr>
      <w:r>
        <w:rPr>
          <w:rFonts w:eastAsia="Times New Roman"/>
        </w:rPr>
        <w:t xml:space="preserve">       </w:t>
      </w:r>
      <w:r>
        <w:rPr>
          <w:rFonts w:eastAsia="Times New Roman" w:cs="Times New Roman" w:ascii="Times New Roman" w:hAnsi="Times New Roman"/>
          <w:sz w:val="24"/>
          <w:szCs w:val="24"/>
          <w:lang w:eastAsia="it-IT"/>
        </w:rPr>
        <w:t>nn) in ordine alle attività professionali si raccomanda che:</w:t>
      </w:r>
    </w:p>
    <w:p>
      <w:pPr>
        <w:pStyle w:val="P1"/>
        <w:spacing w:beforeAutospacing="0" w:before="0" w:afterAutospacing="0" w:after="48"/>
        <w:ind w:firstLine="567"/>
        <w:contextualSpacing/>
        <w:jc w:val="both"/>
        <w:rPr>
          <w:rFonts w:eastAsia="Times New Roman"/>
        </w:rPr>
      </w:pPr>
      <w:r>
        <w:rPr>
          <w:rFonts w:eastAsia="Times New Roman"/>
        </w:rPr>
        <w:t xml:space="preserve">1) esse siano attuate anche mediante modalità di lavoro agile, ove possano essere svolte al proprio domicilio o in modalità a distanza; </w:t>
      </w:r>
    </w:p>
    <w:p>
      <w:pPr>
        <w:pStyle w:val="P1"/>
        <w:spacing w:before="280" w:afterAutospacing="0" w:after="48"/>
        <w:ind w:firstLine="567"/>
        <w:contextualSpacing/>
        <w:jc w:val="both"/>
        <w:rPr>
          <w:rFonts w:eastAsia="Times New Roman"/>
        </w:rPr>
      </w:pPr>
      <w:r>
        <w:rPr>
          <w:rFonts w:eastAsia="Times New Roman"/>
        </w:rPr>
        <w:t xml:space="preserve">2) siano incentivate le ferie e i congedi retribuiti per i dipendenti nonché gli altri strumenti previsti dalla contrattazione collettiva; </w:t>
      </w:r>
    </w:p>
    <w:p>
      <w:pPr>
        <w:pStyle w:val="P1"/>
        <w:spacing w:before="280" w:afterAutospacing="0" w:after="48"/>
        <w:ind w:firstLine="567"/>
        <w:contextualSpacing/>
        <w:jc w:val="both"/>
        <w:rPr>
          <w:rFonts w:eastAsia="Times New Roman"/>
        </w:rPr>
      </w:pPr>
      <w:r>
        <w:rPr>
          <w:rFonts w:eastAsia="Times New Roman"/>
        </w:rPr>
        <w:t xml:space="preserve">3) siano assunti protocolli di sicurezza anti-contagio, fermo restando l’obbligo di utilizzare dispositivi di protezione delle vie respiratorie previsti da normativa, protocolli e linee guida vigenti; </w:t>
      </w:r>
    </w:p>
    <w:p>
      <w:pPr>
        <w:pStyle w:val="P1"/>
        <w:spacing w:before="280" w:afterAutospacing="0" w:after="48"/>
        <w:ind w:firstLine="567"/>
        <w:contextualSpacing/>
        <w:jc w:val="both"/>
        <w:rPr>
          <w:rFonts w:eastAsia="Times New Roman"/>
        </w:rPr>
      </w:pPr>
      <w:r>
        <w:rPr>
          <w:rFonts w:eastAsia="Times New Roman"/>
        </w:rPr>
        <w:t>4) siano incentivate le operazioni di sanificazione dei luoghi di lavoro, anche utilizzando a tal fine forme di ammortizzatori sociali;</w:t>
      </w:r>
    </w:p>
    <w:p>
      <w:pPr>
        <w:pStyle w:val="P1"/>
        <w:spacing w:before="280" w:afterAutospacing="0" w:after="48"/>
        <w:ind w:firstLine="426"/>
        <w:contextualSpacing/>
        <w:jc w:val="both"/>
        <w:rPr>
          <w:rFonts w:eastAsia="Times New Roman"/>
        </w:rPr>
      </w:pPr>
      <w:r>
        <w:rPr>
          <w:rFonts w:eastAsia="Times New Roman"/>
        </w:rPr>
        <w:t>oo) 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sportive nazionali e internazionali o lo svolgimento di tali competizioni. Gli impianti sono aperti agli sciatori amatoriali solo subordinatamente all'adozione di apposite linee guida da parte della Conferenza delle Regioni e delle Province autonome e validate dal Comitato tecnico-scientifico, rivolte a evitare aggregazioni di persone e, in genere, assembramenti;</w:t>
      </w:r>
    </w:p>
    <w:p>
      <w:pPr>
        <w:pStyle w:val="P1"/>
        <w:spacing w:before="280" w:afterAutospacing="0" w:after="48"/>
        <w:ind w:firstLine="426"/>
        <w:contextualSpacing/>
        <w:jc w:val="both"/>
        <w:rPr>
          <w:rFonts w:eastAsia="Times New Roman"/>
        </w:rPr>
      </w:pPr>
      <w:r>
        <w:rPr>
          <w:rFonts w:eastAsia="Times New Roman"/>
        </w:rPr>
        <w:t xml:space="preserve">pp)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 le modalità di accesso, ricevimento, assistenza agli ospiti;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2) le modalità di utilizzo degli spazi comuni, fatte salve le specifiche prescrizioni adottate per le attività di somministrazione di cibi e bevande e di ristorazione;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3) le misure igienico-sanitarie per le camere e gli ambienti comuni;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4) l'accesso dei fornitori esterni;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5) le modalità di svolgimento delle attività ludiche e sportive;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6) lo svolgimento di eventuali servizi navetta a disposizione dei clienti;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48"/>
        <w:ind w:firstLine="709"/>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48"/>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Art. 2</w:t>
      </w:r>
    </w:p>
    <w:p>
      <w:pPr>
        <w:pStyle w:val="Normal"/>
        <w:spacing w:lineRule="auto" w:line="240" w:before="0" w:after="48"/>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Ulteriori misure di contenimento del contagio su alcune aree del territorio nazionale caratterizzate da uno scenario di elevata gravità e da un livello di rischio alto</w:t>
      </w:r>
    </w:p>
    <w:p>
      <w:pPr>
        <w:pStyle w:val="Normal"/>
        <w:spacing w:lineRule="auto" w:line="240" w:before="0" w:after="48"/>
        <w:ind w:left="142" w:hanging="142"/>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PlainText"/>
        <w:numPr>
          <w:ilvl w:val="0"/>
          <w:numId w:val="2"/>
        </w:numPr>
        <w:spacing w:before="0" w:after="48"/>
        <w:ind w:left="0" w:hanging="0"/>
        <w:jc w:val="both"/>
        <w:rPr>
          <w:rFonts w:ascii="Times New Roman" w:hAnsi="Times New Roman" w:cs="Times New Roman"/>
          <w:sz w:val="24"/>
          <w:szCs w:val="24"/>
        </w:rPr>
      </w:pPr>
      <w:bookmarkStart w:id="3" w:name="_Hlk55166684"/>
      <w:r>
        <w:rPr>
          <w:rFonts w:cs="Times New Roman" w:ascii="Times New Roman" w:hAnsi="Times New Roman"/>
          <w:sz w:val="24"/>
          <w:szCs w:val="24"/>
        </w:rPr>
        <w:t xml:space="preserve">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 </w:t>
      </w:r>
      <w:bookmarkStart w:id="4" w:name="_GoBack"/>
      <w:bookmarkEnd w:id="4"/>
      <w:r>
        <w:rPr>
          <w:rFonts w:cs="Times New Roman" w:ascii="Times New Roman" w:hAnsi="Times New Roman"/>
          <w:sz w:val="24"/>
          <w:szCs w:val="24"/>
        </w:rPr>
        <w:t>evoluzione della strategia e pianificazione nella fase di transizione per il periodo autunno invernale”, condiviso dalla Conferenza delle Regioni e Province autonome l’8 ottobre 2020 (allegato 25) nonché sulla base dei dati elaborati dalla cabina di regia di cui al  decreto del Ministro della salute 30 aprile 2020, sentito il Comitato tecnico scientifico sui dati monitorati, sono individuate le Regioni che si collocano in uno “scenario di tipo 3” e con un livello di rischio “alto” di cui al citato documento di Prevenzione.</w:t>
      </w:r>
    </w:p>
    <w:p>
      <w:pPr>
        <w:pStyle w:val="ListParagraph"/>
        <w:widowControl/>
        <w:numPr>
          <w:ilvl w:val="0"/>
          <w:numId w:val="2"/>
        </w:numPr>
        <w:spacing w:before="0" w:after="48"/>
        <w:ind w:left="0" w:hanging="0"/>
        <w:contextualSpacing/>
        <w:rPr>
          <w:color w:val="000000"/>
          <w:sz w:val="24"/>
          <w:szCs w:val="24"/>
        </w:rPr>
      </w:pPr>
      <w:r>
        <w:rPr>
          <w:color w:val="000000"/>
          <w:sz w:val="24"/>
          <w:szCs w:val="24"/>
        </w:rPr>
        <w:t xml:space="preserve">Con ordinanza del Ministro della salute adottata ai sensi del comma 1, d’intesa con il presidente della Regione interessata, può essere prevista, in relazione a specifiche parti del territorio regionale, in ragione dell’andamento del rischio epidemiologico, l’esenzione dell’applicazione delle misure di cui al comma 4.  </w:t>
      </w:r>
    </w:p>
    <w:p>
      <w:pPr>
        <w:pStyle w:val="ListParagraph"/>
        <w:widowControl/>
        <w:numPr>
          <w:ilvl w:val="0"/>
          <w:numId w:val="2"/>
        </w:numPr>
        <w:spacing w:before="0" w:after="48"/>
        <w:ind w:left="0" w:hanging="0"/>
        <w:contextualSpacing/>
        <w:rPr>
          <w:color w:val="000000"/>
          <w:sz w:val="24"/>
          <w:szCs w:val="24"/>
        </w:rPr>
      </w:pPr>
      <w:r>
        <w:rPr>
          <w:color w:val="000000"/>
          <w:sz w:val="24"/>
          <w:szCs w:val="24"/>
        </w:rPr>
        <w:t xml:space="preserve">Il Ministro della salute, con frequenza almeno settimanale, secondo il procedimento di cui al comma 1, verifica il permanere dei presupposti di cui ai commi 1 e 2 e provvede con ordinanza all’aggiornamento del relativo elenco, fermo restando che la permanenza per 14 giorni in un livello di rischio o scenario inferiore a quello che ha determinato le misure restrittive comporta la nuova classificazione. Le ordinanze di cui ai commi precedenti sono efficaci per un periodo minimo di 15 giorni e comunque non oltre la data di efficacia del presente decreto. </w:t>
      </w:r>
    </w:p>
    <w:p>
      <w:pPr>
        <w:pStyle w:val="ListParagraph"/>
        <w:widowControl/>
        <w:numPr>
          <w:ilvl w:val="0"/>
          <w:numId w:val="2"/>
        </w:numPr>
        <w:spacing w:before="0" w:after="48"/>
        <w:ind w:left="0" w:hanging="0"/>
        <w:contextualSpacing/>
        <w:rPr>
          <w:color w:val="000000"/>
          <w:sz w:val="24"/>
          <w:szCs w:val="24"/>
        </w:rPr>
      </w:pPr>
      <w:bookmarkStart w:id="5" w:name="_Hlk55166684"/>
      <w:r>
        <w:rPr>
          <w:color w:val="000000"/>
          <w:sz w:val="24"/>
          <w:szCs w:val="24"/>
        </w:rPr>
        <w:t>A far data dal giorno successivo alla pubblicazione sulla Gazzetta Ufficiale delle ordinanze di cui al comma 1, nelle Regioni ivi individuate sono applicate le seguenti misure di contenimento</w:t>
      </w:r>
      <w:bookmarkEnd w:id="5"/>
      <w:r>
        <w:rPr>
          <w:color w:val="000000"/>
          <w:sz w:val="24"/>
          <w:szCs w:val="24"/>
        </w:rPr>
        <w:t>:</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a</w:t>
      </w:r>
      <w:r>
        <w:rPr>
          <w:rFonts w:eastAsia="Times New Roman" w:cs="Times New Roman" w:ascii="Times New Roman" w:hAnsi="Times New Roman"/>
          <w:color w:val="000000"/>
          <w:sz w:val="24"/>
          <w:szCs w:val="24"/>
          <w:lang w:eastAsia="it-IT" w:bidi="it-IT"/>
        </w:rPr>
        <w:t>) è vietato ogni spostamento in entrata e in uscita dai territori di cui al comma 1, salvo che per gli spostamenti motivati da comprovate esigenze lavorative o situazioni di necessità ovvero per motivi di salute. Sono comunque consentiti gli spostamenti strettamente necessari ad assicurare lo svolgimento della didattica in presenza nei limiti in cui la stessa è consentita. È consentito il rientro presso il proprio domicilio, abitazione o residenza. Il transito sui territori di cui al comma 1 è consentito qualora necessario a raggiungere ulteriori territori non soggetti a restrizioni negli spostamenti o nei casi in cui gli spostamenti sono consentiti ai sensi del presente decret</w:t>
      </w:r>
      <w:r>
        <w:rPr>
          <w:rFonts w:cs="Times New Roman" w:ascii="Times New Roman" w:hAnsi="Times New Roman"/>
          <w:sz w:val="24"/>
          <w:szCs w:val="24"/>
        </w:rPr>
        <w:t>o;</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b) è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 sospesi e non disponibili in tale comune;</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c) sono sospese le attività dei servizi di ristorazione (fra cui bar, pub, ristoranti, gelaterie, pasticcerie), ad esclusione delle mense e del catering continuativo su base contrattuale a condizione che vengano rispettati </w:t>
      </w:r>
      <w:r>
        <w:rPr>
          <w:rFonts w:eastAsia="Times New Roman" w:cs="Times New Roman" w:ascii="Times New Roman" w:hAnsi="Times New Roman"/>
          <w:sz w:val="24"/>
          <w:szCs w:val="24"/>
          <w:lang w:eastAsia="it-IT"/>
        </w:rPr>
        <w:t xml:space="preserve">i protocolli o le linee guida diretti a prevenire o contenere il contagio. </w:t>
      </w:r>
      <w:r>
        <w:rPr>
          <w:rFonts w:cs="Times New Roman" w:ascii="Times New Roman" w:hAnsi="Times New Roman"/>
          <w:sz w:val="24"/>
          <w:szCs w:val="24"/>
        </w:rPr>
        <w:t>Resta consentita la sola ristorazione con consegna a domicilio nel rispetto delle norme igienico sanitarie sia per l'attività di confezionamento che di trasporto, nonché fino alle ore 22,00 la ristorazione con asporto, con divieto di consumazione sul posto o nelle adiacenze. 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bookmarkStart w:id="6" w:name="_Hlk55166911"/>
      <w:bookmarkEnd w:id="6"/>
    </w:p>
    <w:p>
      <w:pPr>
        <w:pStyle w:val="ListParagraph"/>
        <w:widowControl/>
        <w:numPr>
          <w:ilvl w:val="0"/>
          <w:numId w:val="2"/>
        </w:numPr>
        <w:spacing w:before="0" w:after="48"/>
        <w:ind w:left="0" w:hanging="0"/>
        <w:contextualSpacing/>
        <w:rPr>
          <w:sz w:val="24"/>
          <w:szCs w:val="24"/>
        </w:rPr>
      </w:pPr>
      <w:r>
        <w:rPr>
          <w:sz w:val="24"/>
          <w:szCs w:val="24"/>
        </w:rPr>
        <w:t>Le misure previste dagli altri articoli del presente decreto, ad eccezione dell’articolo 3, si applicano anche ai territori di cui al presente articolo, ove per tali territori non siano previste analoghe misure più rigorose.</w:t>
      </w:r>
    </w:p>
    <w:p>
      <w:pPr>
        <w:pStyle w:val="Normal"/>
        <w:spacing w:lineRule="auto" w:line="240" w:before="0" w:after="48"/>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Art. 3</w:t>
      </w:r>
    </w:p>
    <w:p>
      <w:pPr>
        <w:pStyle w:val="Normal"/>
        <w:spacing w:lineRule="auto" w:line="240" w:before="0" w:after="48"/>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Ulteriori misure di contenimento del contagio su alcune aree del territorio nazionale caratterizzate da uno scenario di massima gravità e da un livello di rischio alto</w:t>
      </w:r>
    </w:p>
    <w:p>
      <w:pPr>
        <w:pStyle w:val="Normal"/>
        <w:spacing w:lineRule="auto" w:line="240" w:before="0" w:after="48"/>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PlainText"/>
        <w:numPr>
          <w:ilvl w:val="0"/>
          <w:numId w:val="3"/>
        </w:numPr>
        <w:spacing w:before="0" w:after="48"/>
        <w:ind w:left="0" w:hanging="0"/>
        <w:jc w:val="both"/>
        <w:rPr>
          <w:rFonts w:ascii="Times New Roman" w:hAnsi="Times New Roman" w:cs="Times New Roman"/>
          <w:sz w:val="24"/>
          <w:szCs w:val="24"/>
        </w:rPr>
      </w:pPr>
      <w:r>
        <w:rPr>
          <w:rFonts w:cs="Times New Roman" w:ascii="Times New Roman" w:hAnsi="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 evoluzione della strategia e pianificazione nella fase di transizione per il periodo autunno invernale”, condiviso dalla Conferenza delle Regioni e Province autonome l’8 ottobre 2020 (allegato 25) nonché sulla base dei dati elaborati dalla cabina di regia di cui al decreto del ministro della salute 30 aprile 2020, sentito il Comitato tecnico scientifico  sui dati monitorati, sono individuate le Regioni che si collocano in uno “scenario di tipo 4” e con un livello di rischio “alto” di cui al citato documento di Prevenzione.</w:t>
      </w:r>
    </w:p>
    <w:p>
      <w:pPr>
        <w:pStyle w:val="ListParagraph"/>
        <w:numPr>
          <w:ilvl w:val="0"/>
          <w:numId w:val="3"/>
        </w:numPr>
        <w:spacing w:before="0" w:after="48"/>
        <w:ind w:left="0" w:hanging="0"/>
        <w:rPr>
          <w:color w:val="000000"/>
          <w:sz w:val="24"/>
          <w:szCs w:val="24"/>
        </w:rPr>
      </w:pPr>
      <w:r>
        <w:rPr>
          <w:color w:val="000000"/>
          <w:sz w:val="24"/>
          <w:szCs w:val="24"/>
        </w:rPr>
        <w:t xml:space="preserve">Con ordinanza del Ministro della salute adottata ai sensi del comma 1, d’intesa con il presidente della Regione interessata, può essere prevista, in relazione a specifiche parti del territorio regionale, in ragione dell’andamento del rischio epidemiologico, l’esenzione dell’applicazione delle misure di cui al comma 4.  </w:t>
      </w:r>
    </w:p>
    <w:p>
      <w:pPr>
        <w:pStyle w:val="ListParagraph"/>
        <w:widowControl/>
        <w:numPr>
          <w:ilvl w:val="0"/>
          <w:numId w:val="3"/>
        </w:numPr>
        <w:spacing w:before="0" w:after="48"/>
        <w:ind w:left="0" w:hanging="0"/>
        <w:contextualSpacing/>
        <w:rPr>
          <w:color w:val="000000"/>
          <w:sz w:val="24"/>
          <w:szCs w:val="24"/>
        </w:rPr>
      </w:pPr>
      <w:r>
        <w:rPr>
          <w:color w:val="000000"/>
          <w:sz w:val="24"/>
          <w:szCs w:val="24"/>
        </w:rPr>
        <w:t xml:space="preserve">Il Ministro della salute, con frequenza almeno settimanale, secondo il procedimento di cui al comma 1, verifica il permanere dei presupposti di cui ai commi 1 e 2 e provvede con ordinanza all’aggiornamento del relativo elenco fermo restando che la permanenza per 14 giorni in un livello di rischio o scenario inferiore a quello che ha determinato le misure restrittive comporta la nuova classificazione. Le ordinanze di cui ai commi precedenti sono efficaci per un periodo minimo di 15 giorni e comunque non oltre la data di efficacia del presente decreto. </w:t>
      </w:r>
    </w:p>
    <w:p>
      <w:pPr>
        <w:pStyle w:val="ListParagraph"/>
        <w:numPr>
          <w:ilvl w:val="0"/>
          <w:numId w:val="3"/>
        </w:numPr>
        <w:spacing w:before="0" w:after="48"/>
        <w:ind w:left="0" w:hanging="0"/>
        <w:contextualSpacing/>
        <w:rPr>
          <w:color w:val="000000"/>
          <w:sz w:val="24"/>
          <w:szCs w:val="24"/>
        </w:rPr>
      </w:pPr>
      <w:r>
        <w:rPr>
          <w:color w:val="000000"/>
          <w:sz w:val="24"/>
          <w:szCs w:val="24"/>
        </w:rPr>
        <w:t>A far data dal giorno successivo alla pubblicazione sulla Gazzetta Ufficiale delle ordinanze di cui al comma 1, nelle Regioni ivi individuate sono applicate le seguenti misure di contenimento:</w:t>
      </w:r>
    </w:p>
    <w:p>
      <w:pPr>
        <w:pStyle w:val="Normal"/>
        <w:spacing w:lineRule="auto" w:line="240" w:before="0" w:after="48"/>
        <w:ind w:firstLine="425"/>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a) è vietato ogni spostamento in entrata e in uscita dai territori di cui al comma 1, nonché all’interno dei medesimi territori, salvo che per gli spostamenti motivati da comprovate esigenze lavorative o situazioni di necessità ovvero per motivi di salute. Sono comunque consentiti gli spostamenti strettamente necessari ad assicurare lo svolgimento della didattica in presenza nei limiti in cui la stessa è consentita. È consentito il rientro presso il proprio domicilio, abitazione o residenza. Il transito sui territori di cui al comma 1 è consentito qualora necessario a raggiungere ulteriori territori non soggetti a restrizioni negli spostamenti o nei casi in cui gli spostamenti sono consentiti ai sensi del presente decreto;</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b) sono sospese le attività commerciali al dettaglio, fatta eccezione per le attività di vendita di generi alimentari e di prima necessità individuate nell’allegato 23, sia negli esercizi di vicinato sia nelle medie e grandi strutture di vendita, anche ricompresi nei centri commerciali, purché sia consentito l'accesso alle sole predette attività e ferme restando le chiusure nei giorni festivi e prefestivi di cui all’articolo 1, comma 9, lett. ff). Sono chiusi, indipendentemente dalla tipologia di attività svolta, i mercati, salvo le attività dirette alla vendita di soli generi alimentari. Restano aperte le edicole, i tabaccai, le farmacie e le parafarmacie;</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c) sono sospese le attività dei servizi di ristorazione (fra cui bar, pub, ristoranti, gelaterie, pasticcerie), ad esclusione delle mense e del catering continuativo su base contrattuale a condizione che vengano rispettati </w:t>
      </w:r>
      <w:r>
        <w:rPr>
          <w:rFonts w:eastAsia="Times New Roman" w:cs="Times New Roman" w:ascii="Times New Roman" w:hAnsi="Times New Roman"/>
          <w:sz w:val="24"/>
          <w:szCs w:val="24"/>
          <w:lang w:eastAsia="it-IT"/>
        </w:rPr>
        <w:t xml:space="preserve">i protocolli o le linee guida diretti a prevenire o contenere il contagio. </w:t>
      </w:r>
      <w:r>
        <w:rPr>
          <w:rFonts w:cs="Times New Roman" w:ascii="Times New Roman" w:hAnsi="Times New Roman"/>
          <w:sz w:val="24"/>
          <w:szCs w:val="24"/>
        </w:rPr>
        <w:t>Resta consentita la sola ristorazione con consegna a domicilio nel rispetto delle norme igienico sanitarie sia per l'attività di confezionamento che di trasporto, nonché fino alle ore 22,00 la ristorazione con asporto, con divieto di consumazione sul posto o nelle adiacenze. 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d) tutte le attività previste dall’articolo 1, comma 9, lettere f) e g), anche svolte nei centri sportivi all’aperto, sono sospese; sono altresì sospesi tutti gli eventi e le competizioni organizzati dagli enti di promozione sportiva;</w:t>
      </w:r>
    </w:p>
    <w:p>
      <w:pPr>
        <w:pStyle w:val="Normal"/>
        <w:spacing w:lineRule="auto" w:line="240" w:before="0" w:after="48"/>
        <w:ind w:firstLine="425"/>
        <w:contextualSpacing/>
        <w:jc w:val="both"/>
        <w:rPr>
          <w:rFonts w:ascii="Times New Roman" w:hAnsi="Times New Roman" w:cs="Times New Roman"/>
          <w:sz w:val="24"/>
          <w:szCs w:val="24"/>
        </w:rPr>
      </w:pPr>
      <w:r>
        <w:rPr>
          <w:rFonts w:cs="Times New Roman" w:ascii="Times New Roman" w:hAnsi="Times New Roman"/>
          <w:sz w:val="24"/>
          <w:szCs w:val="24"/>
        </w:rPr>
        <w:t>e) è consentito svolgere individualmente attività motoria in prossimità della propria abitazione purché comunque nel rispetto della distanza di almeno un metro da ogni altra persona e con obbligo di utilizzo di dispositivi di protezione delle vie respiratorie; è altresì consentito lo svolgimento di attività sportiva esclusivamente all’aperto e in forma individuale;</w:t>
      </w:r>
    </w:p>
    <w:p>
      <w:pPr>
        <w:pStyle w:val="Normal"/>
        <w:spacing w:lineRule="auto" w:line="240" w:before="0" w:after="48"/>
        <w:ind w:firstLine="426"/>
        <w:jc w:val="both"/>
        <w:rPr>
          <w:rFonts w:ascii="Times New Roman" w:hAnsi="Times New Roman" w:cs="Times New Roman"/>
          <w:sz w:val="24"/>
          <w:szCs w:val="24"/>
        </w:rPr>
      </w:pPr>
      <w:r>
        <w:rPr>
          <w:rFonts w:cs="Times New Roman" w:ascii="Times New Roman" w:hAnsi="Times New Roman"/>
          <w:sz w:val="24"/>
          <w:szCs w:val="24"/>
        </w:rPr>
        <w:t>f)  fermo restando lo svolgimento in presenza della scuola dell’infanzia, della scuola primaria, dei servizi educativi per l’infanzia di cui all’articolo 2 del decreto legislativo 13 aprile 2017, n. 65 e del primo anno di frequenza della scuola secondaria di primo grado, le attività scolastiche e didattiche si svolgono esclusivamente con modalità a distanza. Resta salva la possibilità di svolgere attività in presenza qualora sia necessario l’uso di laboratori  o in ragione di mantenere una relazione educativa che realizzi l’effettiva inclusione scolastica degli alunni con disabilità e con bisogni educativi speciali, secondo quanto previsto dal decreto del Ministro n. 89 dell’istruzione 7 agosto 2020, e dall’ordinanza del Ministro dell’istruzione  n. 134 del 9 ottobre 2020, garantendo comunque il collegamento on line con gli alunni della classe che sono in didattica digitale integrata;</w:t>
      </w:r>
    </w:p>
    <w:p>
      <w:pPr>
        <w:pStyle w:val="Normal"/>
        <w:spacing w:lineRule="auto" w:line="240" w:before="0" w:after="48"/>
        <w:ind w:firstLine="40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sz w:val="24"/>
          <w:szCs w:val="24"/>
          <w:lang w:eastAsia="it-IT"/>
        </w:rPr>
        <w:t>g)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Pr>
          <w:rFonts w:eastAsia="Times New Roman" w:cs="Times New Roman" w:ascii="Times New Roman" w:hAnsi="Times New Roman"/>
          <w:b/>
          <w:sz w:val="24"/>
          <w:szCs w:val="24"/>
          <w:lang w:eastAsia="it-IT"/>
        </w:rPr>
        <w:t xml:space="preserve"> </w:t>
      </w:r>
    </w:p>
    <w:p>
      <w:pPr>
        <w:pStyle w:val="Normal"/>
        <w:spacing w:lineRule="auto" w:line="240" w:before="0" w:after="48"/>
        <w:ind w:firstLine="284"/>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h) sono sospese le attività inerenti servizi alla persona, diverse da quelle individuate nell’allegato 24;</w:t>
      </w:r>
    </w:p>
    <w:p>
      <w:pPr>
        <w:pStyle w:val="Normal"/>
        <w:spacing w:lineRule="auto" w:line="240" w:before="0" w:after="48"/>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 i datori di lavoro pubblici limitano la presenza del personale nei luoghi di lavoro per assicurare esclusivamente le attività che ritengono indifferibili e che richiedono necessariamente tale presenza, anche in ragione della gestione dell'emergenza; il personale non in presenza presta la propria attività lavorativa in modalità agile. </w:t>
      </w:r>
    </w:p>
    <w:p>
      <w:pPr>
        <w:pStyle w:val="Normal"/>
        <w:spacing w:lineRule="auto" w:line="240" w:before="0" w:after="48"/>
        <w:contextualSpacing/>
        <w:jc w:val="both"/>
        <w:rPr>
          <w:rFonts w:ascii="Times New Roman" w:hAnsi="Times New Roman" w:cs="Times New Roman"/>
          <w:sz w:val="24"/>
          <w:szCs w:val="24"/>
        </w:rPr>
      </w:pPr>
      <w:r>
        <w:rPr>
          <w:rFonts w:cs="Times New Roman" w:ascii="Times New Roman" w:hAnsi="Times New Roman"/>
          <w:sz w:val="24"/>
          <w:szCs w:val="24"/>
        </w:rPr>
        <w:t>5.    Le misure previste dagli altri articoli del presente decreto, si applicano anche ai territori di cui al presente articolo, ove per tali territori non siano previste analoghe misure più rigorose.</w:t>
      </w:r>
    </w:p>
    <w:p>
      <w:pPr>
        <w:pStyle w:val="Normal"/>
        <w:spacing w:lineRule="auto" w:line="240" w:before="0" w:after="48"/>
        <w:rPr/>
      </w:pPr>
      <w:r>
        <w:rPr/>
      </w:r>
    </w:p>
    <w:p>
      <w:pPr>
        <w:pStyle w:val="Normal"/>
        <w:spacing w:lineRule="auto" w:line="240" w:before="0" w:after="48"/>
        <w:ind w:left="100" w:right="-57" w:hanging="0"/>
        <w:jc w:val="center"/>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Art. 4</w:t>
      </w:r>
    </w:p>
    <w:p>
      <w:pPr>
        <w:pStyle w:val="Normal"/>
        <w:spacing w:lineRule="auto" w:line="240" w:before="0" w:after="48"/>
        <w:ind w:left="100" w:right="-57" w:hanging="0"/>
        <w:jc w:val="center"/>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Misure di contenimento del contagio per lo svolgimento in sicurezza delle attività produttive industriali e commerciali</w:t>
      </w:r>
    </w:p>
    <w:p>
      <w:pPr>
        <w:pStyle w:val="Normal"/>
        <w:spacing w:lineRule="auto" w:line="240" w:before="0" w:after="48"/>
        <w:ind w:left="100" w:right="-57" w:hanging="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Sull'intero territorio nazionale tutte le attività produttive industriali e commerciali, fatto salvo quanto previsto dall'articolo 1, rispettano i contenuti del protocollo condiviso di regolamentazione delle misure per il contrasto e il contenimento della diffusione del virus COVID-19 negli ambienti di lavoro sottoscritto il 24 aprile 2020 fra il Governo e le parti sociali di 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pPr>
        <w:pStyle w:val="Normal"/>
        <w:spacing w:lineRule="auto" w:line="240" w:before="0" w:after="48"/>
        <w:ind w:left="100" w:right="-57" w:hanging="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48"/>
        <w:ind w:left="100" w:right="-1" w:hanging="0"/>
        <w:jc w:val="center"/>
        <w:rPr>
          <w:rFonts w:ascii="Times New Roman" w:hAnsi="Times New Roman" w:cs="Times New Roman"/>
          <w:b/>
          <w:b/>
          <w:sz w:val="24"/>
          <w:szCs w:val="24"/>
        </w:rPr>
      </w:pPr>
      <w:r>
        <w:rPr>
          <w:rFonts w:cs="Times New Roman" w:ascii="Times New Roman" w:hAnsi="Times New Roman"/>
          <w:b/>
          <w:sz w:val="24"/>
          <w:szCs w:val="24"/>
        </w:rPr>
        <w:t>Art. 5</w:t>
      </w:r>
    </w:p>
    <w:p>
      <w:pPr>
        <w:pStyle w:val="Normal"/>
        <w:spacing w:lineRule="auto" w:line="240" w:before="0" w:after="48"/>
        <w:ind w:left="100" w:right="-1" w:hanging="0"/>
        <w:jc w:val="center"/>
        <w:rPr>
          <w:rFonts w:ascii="Times New Roman" w:hAnsi="Times New Roman" w:cs="Times New Roman"/>
          <w:b/>
          <w:b/>
          <w:sz w:val="24"/>
          <w:szCs w:val="24"/>
        </w:rPr>
      </w:pPr>
      <w:r>
        <w:rPr>
          <w:rFonts w:cs="Times New Roman" w:ascii="Times New Roman" w:hAnsi="Times New Roman"/>
          <w:b/>
          <w:sz w:val="24"/>
          <w:szCs w:val="24"/>
        </w:rPr>
        <w:t>Misure di informazione e prevenzione sull'intero territorio nazionale</w:t>
      </w:r>
    </w:p>
    <w:p>
      <w:pPr>
        <w:pStyle w:val="Normal"/>
        <w:tabs>
          <w:tab w:val="clear" w:pos="708"/>
          <w:tab w:val="left" w:pos="370" w:leader="none"/>
        </w:tabs>
        <w:spacing w:lineRule="auto" w:line="240" w:before="0" w:after="48"/>
        <w:ind w:left="142" w:right="-1" w:hanging="0"/>
        <w:rPr>
          <w:rFonts w:ascii="Times New Roman" w:hAnsi="Times New Roman" w:cs="Times New Roman"/>
          <w:sz w:val="24"/>
          <w:szCs w:val="24"/>
        </w:rPr>
      </w:pPr>
      <w:r>
        <w:rPr>
          <w:rFonts w:cs="Times New Roman" w:ascii="Times New Roman" w:hAnsi="Times New Roman"/>
          <w:sz w:val="24"/>
          <w:szCs w:val="24"/>
        </w:rPr>
        <w:t>1.   Sull'intero territorio nazionale si applicano altresì le seguenti</w:t>
      </w:r>
      <w:r>
        <w:rPr>
          <w:rFonts w:cs="Times New Roman" w:ascii="Times New Roman" w:hAnsi="Times New Roman"/>
          <w:spacing w:val="-16"/>
          <w:sz w:val="24"/>
          <w:szCs w:val="24"/>
        </w:rPr>
        <w:t xml:space="preserve"> </w:t>
      </w:r>
      <w:r>
        <w:rPr>
          <w:rFonts w:cs="Times New Roman" w:ascii="Times New Roman" w:hAnsi="Times New Roman"/>
          <w:sz w:val="24"/>
          <w:szCs w:val="24"/>
        </w:rPr>
        <w:t>misure:</w:t>
      </w:r>
    </w:p>
    <w:p>
      <w:pPr>
        <w:pStyle w:val="ListParagraph"/>
        <w:numPr>
          <w:ilvl w:val="1"/>
          <w:numId w:val="1"/>
        </w:numPr>
        <w:tabs>
          <w:tab w:val="clear" w:pos="708"/>
          <w:tab w:val="left" w:pos="758" w:leader="none"/>
        </w:tabs>
        <w:spacing w:before="0" w:after="48"/>
        <w:ind w:left="100" w:right="-1" w:firstLine="400"/>
        <w:rPr>
          <w:sz w:val="24"/>
          <w:szCs w:val="24"/>
        </w:rPr>
      </w:pPr>
      <w:r>
        <w:rPr>
          <w:sz w:val="24"/>
          <w:szCs w:val="24"/>
        </w:rPr>
        <w:t>il</w:t>
      </w:r>
      <w:r>
        <w:rPr>
          <w:spacing w:val="-29"/>
          <w:sz w:val="24"/>
          <w:szCs w:val="24"/>
        </w:rPr>
        <w:t xml:space="preserve"> </w:t>
      </w:r>
      <w:r>
        <w:rPr>
          <w:sz w:val="24"/>
          <w:szCs w:val="24"/>
        </w:rPr>
        <w:t>personale</w:t>
      </w:r>
      <w:r>
        <w:rPr>
          <w:spacing w:val="-28"/>
          <w:sz w:val="24"/>
          <w:szCs w:val="24"/>
        </w:rPr>
        <w:t xml:space="preserve"> </w:t>
      </w:r>
      <w:r>
        <w:rPr>
          <w:sz w:val="24"/>
          <w:szCs w:val="24"/>
        </w:rPr>
        <w:t>sanitario</w:t>
      </w:r>
      <w:r>
        <w:rPr>
          <w:spacing w:val="-29"/>
          <w:sz w:val="24"/>
          <w:szCs w:val="24"/>
        </w:rPr>
        <w:t xml:space="preserve"> </w:t>
      </w:r>
      <w:r>
        <w:rPr>
          <w:sz w:val="24"/>
          <w:szCs w:val="24"/>
        </w:rPr>
        <w:t>si</w:t>
      </w:r>
      <w:r>
        <w:rPr>
          <w:spacing w:val="-28"/>
          <w:sz w:val="24"/>
          <w:szCs w:val="24"/>
        </w:rPr>
        <w:t xml:space="preserve"> </w:t>
      </w:r>
      <w:r>
        <w:rPr>
          <w:sz w:val="24"/>
          <w:szCs w:val="24"/>
        </w:rPr>
        <w:t>attiene</w:t>
      </w:r>
      <w:r>
        <w:rPr>
          <w:spacing w:val="-28"/>
          <w:sz w:val="24"/>
          <w:szCs w:val="24"/>
        </w:rPr>
        <w:t xml:space="preserve"> </w:t>
      </w:r>
      <w:r>
        <w:rPr>
          <w:sz w:val="24"/>
          <w:szCs w:val="24"/>
        </w:rPr>
        <w:t>alle</w:t>
      </w:r>
      <w:r>
        <w:rPr>
          <w:spacing w:val="-29"/>
          <w:sz w:val="24"/>
          <w:szCs w:val="24"/>
        </w:rPr>
        <w:t xml:space="preserve"> </w:t>
      </w:r>
      <w:r>
        <w:rPr>
          <w:sz w:val="24"/>
          <w:szCs w:val="24"/>
        </w:rPr>
        <w:t>appropriate</w:t>
      </w:r>
      <w:r>
        <w:rPr>
          <w:spacing w:val="-28"/>
          <w:sz w:val="24"/>
          <w:szCs w:val="24"/>
        </w:rPr>
        <w:t xml:space="preserve"> </w:t>
      </w:r>
      <w:r>
        <w:rPr>
          <w:sz w:val="24"/>
          <w:szCs w:val="24"/>
        </w:rPr>
        <w:t>misure</w:t>
      </w:r>
      <w:r>
        <w:rPr>
          <w:spacing w:val="-29"/>
          <w:sz w:val="24"/>
          <w:szCs w:val="24"/>
        </w:rPr>
        <w:t xml:space="preserve"> </w:t>
      </w:r>
      <w:r>
        <w:rPr>
          <w:sz w:val="24"/>
          <w:szCs w:val="24"/>
        </w:rPr>
        <w:t>per</w:t>
      </w:r>
      <w:r>
        <w:rPr>
          <w:spacing w:val="-28"/>
          <w:sz w:val="24"/>
          <w:szCs w:val="24"/>
        </w:rPr>
        <w:t xml:space="preserve"> </w:t>
      </w:r>
      <w:r>
        <w:rPr>
          <w:sz w:val="24"/>
          <w:szCs w:val="24"/>
        </w:rPr>
        <w:t>la</w:t>
      </w:r>
      <w:r>
        <w:rPr>
          <w:spacing w:val="-28"/>
          <w:sz w:val="24"/>
          <w:szCs w:val="24"/>
        </w:rPr>
        <w:t xml:space="preserve"> </w:t>
      </w:r>
      <w:r>
        <w:rPr>
          <w:sz w:val="24"/>
          <w:szCs w:val="24"/>
        </w:rPr>
        <w:t>prevenzione</w:t>
      </w:r>
      <w:r>
        <w:rPr>
          <w:spacing w:val="-29"/>
          <w:sz w:val="24"/>
          <w:szCs w:val="24"/>
        </w:rPr>
        <w:t xml:space="preserve"> </w:t>
      </w:r>
      <w:r>
        <w:rPr>
          <w:sz w:val="24"/>
          <w:szCs w:val="24"/>
        </w:rPr>
        <w:t>della</w:t>
      </w:r>
      <w:r>
        <w:rPr>
          <w:spacing w:val="-28"/>
          <w:sz w:val="24"/>
          <w:szCs w:val="24"/>
        </w:rPr>
        <w:t xml:space="preserve"> </w:t>
      </w:r>
      <w:r>
        <w:rPr>
          <w:sz w:val="24"/>
          <w:szCs w:val="24"/>
        </w:rPr>
        <w:t>diffusione</w:t>
      </w:r>
      <w:r>
        <w:rPr>
          <w:spacing w:val="-29"/>
          <w:sz w:val="24"/>
          <w:szCs w:val="24"/>
        </w:rPr>
        <w:t xml:space="preserve"> </w:t>
      </w:r>
      <w:r>
        <w:rPr>
          <w:sz w:val="24"/>
          <w:szCs w:val="24"/>
        </w:rPr>
        <w:t>delle</w:t>
      </w:r>
      <w:r>
        <w:rPr>
          <w:spacing w:val="-28"/>
          <w:sz w:val="24"/>
          <w:szCs w:val="24"/>
        </w:rPr>
        <w:t xml:space="preserve"> </w:t>
      </w:r>
      <w:r>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Pr>
          <w:spacing w:val="-45"/>
          <w:sz w:val="24"/>
          <w:szCs w:val="24"/>
        </w:rPr>
        <w:t xml:space="preserve">   </w:t>
      </w:r>
      <w:r>
        <w:rPr>
          <w:sz w:val="24"/>
          <w:szCs w:val="24"/>
        </w:rPr>
        <w:t>salute;</w:t>
      </w:r>
    </w:p>
    <w:p>
      <w:pPr>
        <w:pStyle w:val="ListParagraph"/>
        <w:numPr>
          <w:ilvl w:val="1"/>
          <w:numId w:val="1"/>
        </w:numPr>
        <w:tabs>
          <w:tab w:val="clear" w:pos="708"/>
          <w:tab w:val="left" w:pos="758" w:leader="none"/>
        </w:tabs>
        <w:spacing w:before="0" w:after="48"/>
        <w:ind w:left="100" w:right="-1" w:firstLine="400"/>
        <w:rPr>
          <w:sz w:val="24"/>
          <w:szCs w:val="24"/>
        </w:rPr>
      </w:pPr>
      <w:r>
        <w:rPr>
          <w:iCs/>
          <w:sz w:val="24"/>
          <w:szCs w:val="24"/>
        </w:rPr>
        <w:t xml:space="preserve">al fine di rendere più efficace il </w:t>
      </w:r>
      <w:r>
        <w:rPr>
          <w:i/>
          <w:iCs/>
          <w:sz w:val="24"/>
          <w:szCs w:val="24"/>
        </w:rPr>
        <w:t>contact tracing</w:t>
      </w:r>
      <w:r>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positività;</w:t>
      </w:r>
    </w:p>
    <w:p>
      <w:pPr>
        <w:pStyle w:val="ListParagraph"/>
        <w:numPr>
          <w:ilvl w:val="1"/>
          <w:numId w:val="1"/>
        </w:numPr>
        <w:spacing w:before="0" w:after="48"/>
        <w:ind w:left="785" w:right="-1" w:hanging="286"/>
        <w:rPr>
          <w:sz w:val="24"/>
          <w:szCs w:val="24"/>
        </w:rPr>
      </w:pPr>
      <w:r>
        <w:rPr>
          <w:sz w:val="24"/>
          <w:szCs w:val="24"/>
        </w:rPr>
        <w:t>è</w:t>
      </w:r>
      <w:r>
        <w:rPr>
          <w:spacing w:val="-5"/>
          <w:sz w:val="24"/>
          <w:szCs w:val="24"/>
        </w:rPr>
        <w:t xml:space="preserve"> </w:t>
      </w:r>
      <w:r>
        <w:rPr>
          <w:sz w:val="24"/>
          <w:szCs w:val="24"/>
        </w:rPr>
        <w:t>raccomandata</w:t>
      </w:r>
      <w:r>
        <w:rPr>
          <w:spacing w:val="-4"/>
          <w:sz w:val="24"/>
          <w:szCs w:val="24"/>
        </w:rPr>
        <w:t xml:space="preserve"> </w:t>
      </w:r>
      <w:r>
        <w:rPr>
          <w:sz w:val="24"/>
          <w:szCs w:val="24"/>
        </w:rPr>
        <w:t>l'applicazione</w:t>
      </w:r>
      <w:r>
        <w:rPr>
          <w:spacing w:val="-5"/>
          <w:sz w:val="24"/>
          <w:szCs w:val="24"/>
        </w:rPr>
        <w:t xml:space="preserve"> </w:t>
      </w:r>
      <w:r>
        <w:rPr>
          <w:sz w:val="24"/>
          <w:szCs w:val="24"/>
        </w:rPr>
        <w:t>delle</w:t>
      </w:r>
      <w:r>
        <w:rPr>
          <w:spacing w:val="-4"/>
          <w:sz w:val="24"/>
          <w:szCs w:val="24"/>
        </w:rPr>
        <w:t xml:space="preserve"> </w:t>
      </w:r>
      <w:r>
        <w:rPr>
          <w:sz w:val="24"/>
          <w:szCs w:val="24"/>
        </w:rPr>
        <w:t>misure</w:t>
      </w:r>
      <w:r>
        <w:rPr>
          <w:spacing w:val="-5"/>
          <w:sz w:val="24"/>
          <w:szCs w:val="24"/>
        </w:rPr>
        <w:t xml:space="preserve"> </w:t>
      </w:r>
      <w:r>
        <w:rPr>
          <w:sz w:val="24"/>
          <w:szCs w:val="24"/>
        </w:rPr>
        <w:t>di</w:t>
      </w:r>
      <w:r>
        <w:rPr>
          <w:spacing w:val="-4"/>
          <w:sz w:val="24"/>
          <w:szCs w:val="24"/>
        </w:rPr>
        <w:t xml:space="preserve"> </w:t>
      </w:r>
      <w:r>
        <w:rPr>
          <w:sz w:val="24"/>
          <w:szCs w:val="24"/>
        </w:rPr>
        <w:t>prevenzione</w:t>
      </w:r>
      <w:r>
        <w:rPr>
          <w:spacing w:val="-5"/>
          <w:sz w:val="24"/>
          <w:szCs w:val="24"/>
        </w:rPr>
        <w:t xml:space="preserve"> </w:t>
      </w:r>
      <w:r>
        <w:rPr>
          <w:sz w:val="24"/>
          <w:szCs w:val="24"/>
        </w:rPr>
        <w:t>igienico</w:t>
      </w:r>
      <w:r>
        <w:rPr>
          <w:spacing w:val="-4"/>
          <w:sz w:val="24"/>
          <w:szCs w:val="24"/>
        </w:rPr>
        <w:t xml:space="preserve"> </w:t>
      </w:r>
      <w:r>
        <w:rPr>
          <w:sz w:val="24"/>
          <w:szCs w:val="24"/>
        </w:rPr>
        <w:t>sanitaria</w:t>
      </w:r>
      <w:r>
        <w:rPr>
          <w:spacing w:val="-5"/>
          <w:sz w:val="24"/>
          <w:szCs w:val="24"/>
        </w:rPr>
        <w:t xml:space="preserve"> </w:t>
      </w:r>
      <w:r>
        <w:rPr>
          <w:sz w:val="24"/>
          <w:szCs w:val="24"/>
        </w:rPr>
        <w:t>di</w:t>
      </w:r>
      <w:r>
        <w:rPr>
          <w:spacing w:val="-4"/>
          <w:sz w:val="24"/>
          <w:szCs w:val="24"/>
        </w:rPr>
        <w:t xml:space="preserve"> </w:t>
      </w:r>
      <w:r>
        <w:rPr>
          <w:sz w:val="24"/>
          <w:szCs w:val="24"/>
        </w:rPr>
        <w:t>cui</w:t>
      </w:r>
      <w:r>
        <w:rPr>
          <w:spacing w:val="-5"/>
          <w:sz w:val="24"/>
          <w:szCs w:val="24"/>
        </w:rPr>
        <w:t xml:space="preserve"> </w:t>
      </w:r>
      <w:r>
        <w:rPr>
          <w:sz w:val="24"/>
          <w:szCs w:val="24"/>
        </w:rPr>
        <w:t>all'allegato</w:t>
      </w:r>
      <w:r>
        <w:rPr>
          <w:spacing w:val="-4"/>
          <w:sz w:val="24"/>
          <w:szCs w:val="24"/>
        </w:rPr>
        <w:t xml:space="preserve"> </w:t>
      </w:r>
      <w:r>
        <w:rPr>
          <w:sz w:val="24"/>
          <w:szCs w:val="24"/>
        </w:rPr>
        <w:t>19;</w:t>
      </w:r>
    </w:p>
    <w:p>
      <w:pPr>
        <w:pStyle w:val="ListParagraph"/>
        <w:numPr>
          <w:ilvl w:val="1"/>
          <w:numId w:val="1"/>
        </w:numPr>
        <w:tabs>
          <w:tab w:val="clear" w:pos="708"/>
          <w:tab w:val="left" w:pos="785" w:leader="none"/>
        </w:tabs>
        <w:spacing w:before="0" w:after="48"/>
        <w:ind w:left="100" w:right="-1" w:firstLine="400"/>
        <w:rPr>
          <w:sz w:val="24"/>
          <w:szCs w:val="24"/>
        </w:rPr>
      </w:pPr>
      <w:r>
        <w:rPr>
          <w:sz w:val="24"/>
          <w:szCs w:val="24"/>
        </w:rPr>
        <w:t>nei servizi educativi per l'infanzia di cui al decreto legislativo 13 aprile 2017, n. 65, nelle scuole di ogni ordine e grado, nelle università, negli uffici delle restanti pubbliche amministrazioni, sono esposte presso</w:t>
      </w:r>
      <w:r>
        <w:rPr>
          <w:spacing w:val="-23"/>
          <w:sz w:val="24"/>
          <w:szCs w:val="24"/>
        </w:rPr>
        <w:t xml:space="preserve"> </w:t>
      </w:r>
      <w:r>
        <w:rPr>
          <w:sz w:val="24"/>
          <w:szCs w:val="24"/>
        </w:rPr>
        <w:t>gli</w:t>
      </w:r>
      <w:r>
        <w:rPr>
          <w:spacing w:val="-23"/>
          <w:sz w:val="24"/>
          <w:szCs w:val="24"/>
        </w:rPr>
        <w:t xml:space="preserve"> </w:t>
      </w:r>
      <w:r>
        <w:rPr>
          <w:sz w:val="24"/>
          <w:szCs w:val="24"/>
        </w:rPr>
        <w:t>ambienti</w:t>
      </w:r>
      <w:r>
        <w:rPr>
          <w:spacing w:val="-22"/>
          <w:sz w:val="24"/>
          <w:szCs w:val="24"/>
        </w:rPr>
        <w:t xml:space="preserve"> </w:t>
      </w:r>
      <w:r>
        <w:rPr>
          <w:sz w:val="24"/>
          <w:szCs w:val="24"/>
        </w:rPr>
        <w:t>aperti</w:t>
      </w:r>
      <w:r>
        <w:rPr>
          <w:spacing w:val="-23"/>
          <w:sz w:val="24"/>
          <w:szCs w:val="24"/>
        </w:rPr>
        <w:t xml:space="preserve"> </w:t>
      </w:r>
      <w:r>
        <w:rPr>
          <w:sz w:val="24"/>
          <w:szCs w:val="24"/>
        </w:rPr>
        <w:t>al</w:t>
      </w:r>
      <w:r>
        <w:rPr>
          <w:spacing w:val="-23"/>
          <w:sz w:val="24"/>
          <w:szCs w:val="24"/>
        </w:rPr>
        <w:t xml:space="preserve"> </w:t>
      </w:r>
      <w:r>
        <w:rPr>
          <w:sz w:val="24"/>
          <w:szCs w:val="24"/>
        </w:rPr>
        <w:t>pubblico,</w:t>
      </w:r>
      <w:r>
        <w:rPr>
          <w:spacing w:val="-22"/>
          <w:sz w:val="24"/>
          <w:szCs w:val="24"/>
        </w:rPr>
        <w:t xml:space="preserve"> </w:t>
      </w:r>
      <w:r>
        <w:rPr>
          <w:sz w:val="24"/>
          <w:szCs w:val="24"/>
        </w:rPr>
        <w:t>ovvero</w:t>
      </w:r>
      <w:r>
        <w:rPr>
          <w:spacing w:val="-23"/>
          <w:sz w:val="24"/>
          <w:szCs w:val="24"/>
        </w:rPr>
        <w:t xml:space="preserve"> </w:t>
      </w:r>
      <w:r>
        <w:rPr>
          <w:sz w:val="24"/>
          <w:szCs w:val="24"/>
        </w:rPr>
        <w:t>di</w:t>
      </w:r>
      <w:r>
        <w:rPr>
          <w:spacing w:val="-23"/>
          <w:sz w:val="24"/>
          <w:szCs w:val="24"/>
        </w:rPr>
        <w:t xml:space="preserve"> </w:t>
      </w:r>
      <w:r>
        <w:rPr>
          <w:sz w:val="24"/>
          <w:szCs w:val="24"/>
        </w:rPr>
        <w:t>maggiore</w:t>
      </w:r>
      <w:r>
        <w:rPr>
          <w:spacing w:val="-22"/>
          <w:sz w:val="24"/>
          <w:szCs w:val="24"/>
        </w:rPr>
        <w:t xml:space="preserve"> </w:t>
      </w:r>
      <w:r>
        <w:rPr>
          <w:sz w:val="24"/>
          <w:szCs w:val="24"/>
        </w:rPr>
        <w:t>affollamento</w:t>
      </w:r>
      <w:r>
        <w:rPr>
          <w:spacing w:val="-23"/>
          <w:sz w:val="24"/>
          <w:szCs w:val="24"/>
        </w:rPr>
        <w:t xml:space="preserve"> </w:t>
      </w:r>
      <w:r>
        <w:rPr>
          <w:sz w:val="24"/>
          <w:szCs w:val="24"/>
        </w:rPr>
        <w:t>e</w:t>
      </w:r>
      <w:r>
        <w:rPr>
          <w:spacing w:val="-22"/>
          <w:sz w:val="24"/>
          <w:szCs w:val="24"/>
        </w:rPr>
        <w:t xml:space="preserve"> </w:t>
      </w:r>
      <w:r>
        <w:rPr>
          <w:sz w:val="24"/>
          <w:szCs w:val="24"/>
        </w:rPr>
        <w:t>transito,</w:t>
      </w:r>
      <w:r>
        <w:rPr>
          <w:spacing w:val="-23"/>
          <w:sz w:val="24"/>
          <w:szCs w:val="24"/>
        </w:rPr>
        <w:t xml:space="preserve"> </w:t>
      </w:r>
      <w:r>
        <w:rPr>
          <w:sz w:val="24"/>
          <w:szCs w:val="24"/>
        </w:rPr>
        <w:t>le</w:t>
      </w:r>
      <w:r>
        <w:rPr>
          <w:spacing w:val="-23"/>
          <w:sz w:val="24"/>
          <w:szCs w:val="24"/>
        </w:rPr>
        <w:t xml:space="preserve"> </w:t>
      </w:r>
      <w:r>
        <w:rPr>
          <w:sz w:val="24"/>
          <w:szCs w:val="24"/>
        </w:rPr>
        <w:t>informazioni</w:t>
      </w:r>
      <w:r>
        <w:rPr>
          <w:spacing w:val="-22"/>
          <w:sz w:val="24"/>
          <w:szCs w:val="24"/>
        </w:rPr>
        <w:t xml:space="preserve"> </w:t>
      </w:r>
      <w:r>
        <w:rPr>
          <w:sz w:val="24"/>
          <w:szCs w:val="24"/>
        </w:rPr>
        <w:t>sulle</w:t>
      </w:r>
      <w:r>
        <w:rPr>
          <w:spacing w:val="-23"/>
          <w:sz w:val="24"/>
          <w:szCs w:val="24"/>
        </w:rPr>
        <w:t xml:space="preserve"> </w:t>
      </w:r>
      <w:r>
        <w:rPr>
          <w:sz w:val="24"/>
          <w:szCs w:val="24"/>
        </w:rPr>
        <w:t>misure di prevenzione igienico sanitarie di cui all'allegato</w:t>
      </w:r>
      <w:r>
        <w:rPr>
          <w:spacing w:val="-10"/>
          <w:sz w:val="24"/>
          <w:szCs w:val="24"/>
        </w:rPr>
        <w:t xml:space="preserve"> </w:t>
      </w:r>
      <w:r>
        <w:rPr>
          <w:sz w:val="24"/>
          <w:szCs w:val="24"/>
        </w:rPr>
        <w:t>19;</w:t>
      </w:r>
    </w:p>
    <w:p>
      <w:pPr>
        <w:pStyle w:val="ListParagraph"/>
        <w:numPr>
          <w:ilvl w:val="1"/>
          <w:numId w:val="1"/>
        </w:numPr>
        <w:tabs>
          <w:tab w:val="clear" w:pos="708"/>
          <w:tab w:val="left" w:pos="809" w:leader="none"/>
        </w:tabs>
        <w:spacing w:before="0" w:after="48"/>
        <w:ind w:left="100" w:right="-1" w:firstLine="400"/>
        <w:rPr>
          <w:sz w:val="24"/>
          <w:szCs w:val="24"/>
        </w:rPr>
      </w:pPr>
      <w:r>
        <w:rPr>
          <w:sz w:val="24"/>
          <w:szCs w:val="24"/>
        </w:rPr>
        <w:t>i sindaci e le associazioni di categoria promuovono la diffusione delle informazioni sulle misure di prevenzione igienico sanitarie di cui all'allegato 19 anche presso gli esercizi</w:t>
      </w:r>
      <w:r>
        <w:rPr>
          <w:spacing w:val="-29"/>
          <w:sz w:val="24"/>
          <w:szCs w:val="24"/>
        </w:rPr>
        <w:t xml:space="preserve"> </w:t>
      </w:r>
      <w:r>
        <w:rPr>
          <w:sz w:val="24"/>
          <w:szCs w:val="24"/>
        </w:rPr>
        <w:t>commerciali;</w:t>
      </w:r>
    </w:p>
    <w:p>
      <w:pPr>
        <w:pStyle w:val="ListParagraph"/>
        <w:numPr>
          <w:ilvl w:val="1"/>
          <w:numId w:val="1"/>
        </w:numPr>
        <w:tabs>
          <w:tab w:val="clear" w:pos="708"/>
          <w:tab w:val="left" w:pos="815" w:leader="none"/>
        </w:tabs>
        <w:spacing w:before="0" w:after="48"/>
        <w:ind w:left="100" w:right="-1" w:firstLine="400"/>
        <w:rPr>
          <w:sz w:val="24"/>
          <w:szCs w:val="24"/>
        </w:rPr>
      </w:pPr>
      <w:r>
        <w:rPr>
          <w:sz w:val="24"/>
          <w:szCs w:val="24"/>
        </w:rPr>
        <w:t>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Pr>
          <w:spacing w:val="-22"/>
          <w:sz w:val="24"/>
          <w:szCs w:val="24"/>
        </w:rPr>
        <w:t xml:space="preserve"> </w:t>
      </w:r>
      <w:r>
        <w:rPr>
          <w:sz w:val="24"/>
          <w:szCs w:val="24"/>
        </w:rPr>
        <w:t>mani;</w:t>
      </w:r>
    </w:p>
    <w:p>
      <w:pPr>
        <w:pStyle w:val="ListParagraph"/>
        <w:numPr>
          <w:ilvl w:val="1"/>
          <w:numId w:val="1"/>
        </w:numPr>
        <w:tabs>
          <w:tab w:val="clear" w:pos="708"/>
          <w:tab w:val="left" w:pos="801" w:leader="none"/>
        </w:tabs>
        <w:spacing w:before="0" w:after="48"/>
        <w:ind w:left="100" w:right="-1" w:firstLine="400"/>
        <w:rPr>
          <w:sz w:val="24"/>
          <w:szCs w:val="24"/>
        </w:rPr>
      </w:pPr>
      <w:r>
        <w:rPr>
          <w:sz w:val="24"/>
          <w:szCs w:val="24"/>
        </w:rPr>
        <w:t>le aziende di trasporto pubblico anche a lunga percorrenza adottano interventi straordinari di sanificazione dei mezzi, ripetuti a cadenza</w:t>
      </w:r>
      <w:r>
        <w:rPr>
          <w:spacing w:val="-9"/>
          <w:sz w:val="24"/>
          <w:szCs w:val="24"/>
        </w:rPr>
        <w:t xml:space="preserve"> </w:t>
      </w:r>
      <w:r>
        <w:rPr>
          <w:sz w:val="24"/>
          <w:szCs w:val="24"/>
        </w:rPr>
        <w:t>ravvicinata.</w:t>
      </w:r>
    </w:p>
    <w:p>
      <w:pPr>
        <w:pStyle w:val="ListParagraph"/>
        <w:tabs>
          <w:tab w:val="clear" w:pos="708"/>
          <w:tab w:val="left" w:pos="396" w:leader="none"/>
        </w:tabs>
        <w:spacing w:before="0" w:after="48"/>
        <w:ind w:left="100" w:right="-1" w:hanging="0"/>
        <w:rPr>
          <w:sz w:val="24"/>
          <w:szCs w:val="24"/>
        </w:rPr>
      </w:pPr>
      <w:r>
        <w:rPr>
          <w:sz w:val="24"/>
          <w:szCs w:val="24"/>
        </w:rPr>
        <w:t>2.  Nel predisporre, anche attraverso l'adozione di appositi protocolli, le misure necessarie a garantire la progressiva riapertura di tutti gli uffici pubblici e il rientro in sicurezza dei propri dipendenti con le modalità di cui all’articolo 263 del decreto-legge 19 maggio 2020, n. 34, convertito con modificazioni, dalla legge 17 luglio 2020, n. 77, le pubbliche amministrazioni assicurano il rispetto delle prescrizioni vigenti in materia di tutela della salute adottate dalle competenti autorità.</w:t>
      </w:r>
    </w:p>
    <w:p>
      <w:pPr>
        <w:pStyle w:val="Body1"/>
        <w:spacing w:before="0" w:after="48"/>
        <w:ind w:left="142" w:hanging="0"/>
        <w:jc w:val="both"/>
        <w:rPr>
          <w:rFonts w:ascii="Times New Roman" w:hAnsi="Times New Roman"/>
          <w:szCs w:val="24"/>
        </w:rPr>
      </w:pPr>
      <w:r>
        <w:rPr>
          <w:rFonts w:ascii="Times New Roman" w:hAnsi="Times New Roman"/>
          <w:szCs w:val="24"/>
        </w:rPr>
        <w:t xml:space="preserve">3.  Le pubbliche amministrazioni di cui all’articolo 1, comma 2, del decreto legislativo 30 marzo 2001, n. 165, assicurano le percentuali più elevate possibili di lavoro agile, compatibili con le potenzialità organizzative e con la qualità e l’effettività del servizio erogato  con le modalità stabilite da uno o più decreti del Ministro della pubblica amministrazione, garantendo almeno la percentuale di cui all’articolo 263, comma 1, del decreto-legge 19 maggio 2020, n. 34, convertito con modificazioni dalla legge 17 luglio 2020, n. 77. </w:t>
      </w:r>
    </w:p>
    <w:p>
      <w:pPr>
        <w:pStyle w:val="Body1"/>
        <w:spacing w:before="0" w:after="48"/>
        <w:ind w:left="142" w:hanging="0"/>
        <w:jc w:val="both"/>
        <w:rPr>
          <w:rFonts w:ascii="Times New Roman" w:hAnsi="Times New Roman"/>
          <w:szCs w:val="24"/>
        </w:rPr>
      </w:pPr>
      <w:r>
        <w:rPr>
          <w:rFonts w:ascii="Times New Roman" w:hAnsi="Times New Roman"/>
          <w:szCs w:val="24"/>
        </w:rPr>
        <w:t>4.  Nelle pubbliche amministrazioni, tenuto conto dell’evolversi della situazione epidemiologica, ciascun dirigente:</w:t>
      </w:r>
    </w:p>
    <w:p>
      <w:pPr>
        <w:pStyle w:val="Body1"/>
        <w:spacing w:before="0" w:after="48"/>
        <w:ind w:firstLine="567"/>
        <w:jc w:val="both"/>
        <w:rPr>
          <w:rFonts w:ascii="Times New Roman" w:hAnsi="Times New Roman"/>
          <w:szCs w:val="24"/>
        </w:rPr>
      </w:pPr>
      <w:r>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pPr>
        <w:pStyle w:val="Body1"/>
        <w:spacing w:before="0" w:after="48"/>
        <w:ind w:firstLine="567"/>
        <w:jc w:val="both"/>
        <w:rPr>
          <w:rFonts w:ascii="Times New Roman" w:hAnsi="Times New Roman"/>
          <w:szCs w:val="24"/>
        </w:rPr>
      </w:pPr>
      <w:r>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p>
    <w:p>
      <w:pPr>
        <w:pStyle w:val="ListParagraph"/>
        <w:spacing w:before="0" w:after="48"/>
        <w:ind w:left="0" w:right="-1" w:hanging="0"/>
        <w:rPr>
          <w:sz w:val="24"/>
          <w:szCs w:val="24"/>
        </w:rPr>
      </w:pPr>
      <w:r>
        <w:rPr>
          <w:sz w:val="24"/>
          <w:szCs w:val="24"/>
        </w:rPr>
        <w:t xml:space="preserve">5.  Le pubbliche amministrazioni dispongono una differenziazione dell’orario di ingresso e di uscita del personale, fatto salvo il personale sanitario e socio sanitario, nonché quello impegnato in attività connessa all’emergenza o in servizi pubblici essenziali. È raccomandata la differenziazione dell’orario di ingresso del personale anche da parte dei datori di lavoro privati. </w:t>
      </w:r>
    </w:p>
    <w:p>
      <w:pPr>
        <w:pStyle w:val="ListParagraph"/>
        <w:spacing w:before="0" w:after="48"/>
        <w:ind w:left="0" w:right="-1" w:hanging="0"/>
        <w:rPr>
          <w:sz w:val="24"/>
          <w:szCs w:val="24"/>
        </w:rPr>
      </w:pPr>
      <w:r>
        <w:rPr>
          <w:sz w:val="24"/>
          <w:szCs w:val="24"/>
        </w:rPr>
        <w:t>6.  È fortemente raccomandato l’utilizzo della modalità di lavoro agile da parte dei datori di lavoro privati, ai sensi dell’articolo 90 del decreto-legge 19 maggio 2020, n. 34, convertito con modificazioni dalla legge 17 luglio 2020, n. 77, nonché di quanto previsto dai protocolli di cui agli allegati 12 e 13 al presente decreto.</w:t>
      </w:r>
    </w:p>
    <w:p>
      <w:pPr>
        <w:pStyle w:val="Normal"/>
        <w:spacing w:lineRule="auto" w:line="240" w:beforeAutospacing="1" w:after="48"/>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spacing w:lineRule="auto" w:line="240" w:beforeAutospacing="1" w:after="48"/>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6</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Limitazioni agli spostamenti da e per l'estero</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la dichiarazione di cui all'articolo 7, comma 1:</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esigenze lavorative;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assoluta urgenza;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esigenze di salute;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 esigenze di studio;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 rientro presso il proprio domicilio, abitazione o residenza;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f) ingresso nel territorio nazionale da parte di cittadini di Stati membri dell'Unione europea, di Stati parte dell'</w:t>
      </w:r>
      <w:r>
        <w:fldChar w:fldCharType="begin"/>
      </w:r>
      <w:r>
        <w:rPr>
          <w:sz w:val="24"/>
          <w:szCs w:val="24"/>
          <w:iCs/>
          <w:rFonts w:eastAsia="Times New Roman" w:cs="Times New Roman" w:ascii="Times New Roman" w:hAnsi="Times New Roman"/>
          <w:lang w:eastAsia="it-IT"/>
        </w:rPr>
        <w:instrText> HYPERLINK "http://https/entilocali.leggiditalia.it/" \l "id=10LX0000119933ART0,__m=document"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accordo di Schengen</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del Regno Unito di Gran Bretagna e Irlanda del nord, di Andorra, del Principato di Monaco, della Repubblica di San Marino, dello Stato della Città del Vaticano;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 ingresso nel territorio nazionale da parte di familiari delle persone fisiche di cui alla lettera f), come definiti dagli </w:t>
      </w:r>
      <w:r>
        <w:fldChar w:fldCharType="begin"/>
      </w:r>
      <w:r>
        <w:rPr>
          <w:sz w:val="24"/>
          <w:szCs w:val="24"/>
          <w:iCs/>
          <w:rFonts w:eastAsia="Times New Roman" w:cs="Times New Roman" w:ascii="Times New Roman" w:hAnsi="Times New Roman"/>
          <w:lang w:eastAsia="it-IT"/>
        </w:rPr>
        <w:instrText> HYPERLINK "http://https/entilocali.leggiditalia.it/" \l "id=10LX0000213779ART3,__m=document"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articoli 2</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 </w:t>
      </w:r>
      <w:r>
        <w:fldChar w:fldCharType="begin"/>
      </w:r>
      <w:r>
        <w:rPr>
          <w:sz w:val="24"/>
          <w:szCs w:val="24"/>
          <w:iCs/>
          <w:rFonts w:eastAsia="Times New Roman" w:cs="Times New Roman" w:ascii="Times New Roman" w:hAnsi="Times New Roman"/>
          <w:lang w:eastAsia="it-IT"/>
        </w:rPr>
        <w:instrText> HYPERLINK "http://https/entilocali.leggiditalia.it/" \l "id=10LX0000213779ART4,__m=document"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3 della direttiva 2004/38/CE del Parlamento europeo e del Consiglio, del 29 aprile 2004</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relativa al diritto dei cittadini dell'Unione e dei loro familiari di circolare e di soggiornare liberamente nel territorio degli Stati membri, che modifica il </w:t>
      </w:r>
      <w:r>
        <w:fldChar w:fldCharType="begin"/>
      </w:r>
      <w:r>
        <w:rPr>
          <w:sz w:val="24"/>
          <w:szCs w:val="24"/>
          <w:iCs/>
          <w:rFonts w:eastAsia="Times New Roman" w:cs="Times New Roman" w:ascii="Times New Roman" w:hAnsi="Times New Roman"/>
          <w:lang w:eastAsia="it-IT"/>
        </w:rPr>
        <w:instrText> HYPERLINK "http://https/entilocali.leggiditalia.it/" \l "id=10LX0000193796ART0,__m=document"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regolamento (CEE) n. 1612/68</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ed abroga le </w:t>
      </w:r>
      <w:r>
        <w:fldChar w:fldCharType="begin"/>
      </w:r>
      <w:r>
        <w:rPr>
          <w:sz w:val="24"/>
          <w:szCs w:val="24"/>
          <w:iCs/>
          <w:rFonts w:eastAsia="Times New Roman" w:cs="Times New Roman" w:ascii="Times New Roman" w:hAnsi="Times New Roman"/>
          <w:lang w:eastAsia="it-IT"/>
        </w:rPr>
        <w:instrText> HYPERLINK "http://https/entilocali.leggiditalia.it/" \l "id=10LX0000193793ART0,__m=document"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direttive 64/221/CEE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"id=10LX0000193839ART0,__m=document"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68/360/CEE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"id=10LX0000195631ART0,__m=document"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72/194/CEE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"id=10LX0000191905ART0,__m=document"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73/148/CEE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"id=10LX0000191906ART0,__m=document"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75/34/CEE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"id=10LX0000191907ART0,__m=document"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75/35/CEE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60/364/CEE, </w:t>
      </w:r>
      <w:r>
        <w:fldChar w:fldCharType="begin"/>
      </w:r>
      <w:r>
        <w:rPr>
          <w:sz w:val="24"/>
          <w:szCs w:val="24"/>
          <w:iCs/>
          <w:rFonts w:eastAsia="Times New Roman" w:cs="Times New Roman" w:ascii="Times New Roman" w:hAnsi="Times New Roman"/>
          <w:lang w:eastAsia="it-IT"/>
        </w:rPr>
        <w:instrText> HYPERLINK "http://https/entilocali.leggiditalia.it/" \l "id=10LX0000191914ART0,__m=document"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90/365/CEE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 </w:t>
      </w:r>
      <w:r>
        <w:fldChar w:fldCharType="begin"/>
      </w:r>
      <w:r>
        <w:rPr>
          <w:sz w:val="24"/>
          <w:szCs w:val="24"/>
          <w:iCs/>
          <w:rFonts w:eastAsia="Times New Roman" w:cs="Times New Roman" w:ascii="Times New Roman" w:hAnsi="Times New Roman"/>
          <w:lang w:eastAsia="it-IT"/>
        </w:rPr>
        <w:instrText> HYPERLINK "http://https/entilocali.leggiditalia.it/" \l "id=10LX0000191898ART0,__m=document"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93/96/CEE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h) ingresso nel territorio nazionale da parte di cittadini di Stati terzi soggiornanti di lungo periodo ai sensi della </w:t>
      </w:r>
      <w:r>
        <w:fldChar w:fldCharType="begin"/>
      </w:r>
      <w:r>
        <w:rPr>
          <w:sz w:val="24"/>
          <w:szCs w:val="24"/>
          <w:iCs/>
          <w:rFonts w:eastAsia="Times New Roman" w:cs="Times New Roman" w:ascii="Times New Roman" w:hAnsi="Times New Roman"/>
          <w:lang w:eastAsia="it-IT"/>
        </w:rPr>
        <w:instrText> HYPERLINK "http://https/entilocali.leggiditalia.it/" \l "id=10LX0000212730ART0,__m=document"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direttiva 2003/109/CE del Consiglio, del 25 novembre 2003</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i) ingresso nel territorio nazionale da parte di familiari delle persone fisiche di cui alla lettera h), come definiti dagli </w:t>
      </w:r>
      <w:r>
        <w:fldChar w:fldCharType="begin"/>
      </w:r>
      <w:r>
        <w:rPr>
          <w:sz w:val="24"/>
          <w:szCs w:val="24"/>
          <w:iCs/>
          <w:rFonts w:eastAsia="Times New Roman" w:cs="Times New Roman" w:ascii="Times New Roman" w:hAnsi="Times New Roman"/>
          <w:lang w:eastAsia="it-IT"/>
        </w:rPr>
        <w:instrText> HYPERLINK "http://https/entilocali.leggiditalia.it/" \l "id=10LX0000213779ART3,__m=document"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articoli 2</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 </w:t>
      </w:r>
      <w:r>
        <w:fldChar w:fldCharType="begin"/>
      </w:r>
      <w:r>
        <w:rPr>
          <w:sz w:val="24"/>
          <w:szCs w:val="24"/>
          <w:iCs/>
          <w:rFonts w:eastAsia="Times New Roman" w:cs="Times New Roman" w:ascii="Times New Roman" w:hAnsi="Times New Roman"/>
          <w:lang w:eastAsia="it-IT"/>
        </w:rPr>
        <w:instrText> HYPERLINK "http://https/entilocali.leggiditalia.it/" \l "id=10LX0000213779ART4,__m=document"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3 della direttiva 2004/38/CE del Parlamento europeo e del Consiglio, del 29 aprile 2004</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relativa al diritto dei cittadini dell'Unione e dei loro familiari di circolare e di soggiornare liberamente nel territorio degli Stati membri, che modifica il </w:t>
      </w:r>
      <w:r>
        <w:fldChar w:fldCharType="begin"/>
      </w:r>
      <w:r>
        <w:rPr>
          <w:sz w:val="24"/>
          <w:szCs w:val="24"/>
          <w:iCs/>
          <w:rFonts w:eastAsia="Times New Roman" w:cs="Times New Roman" w:ascii="Times New Roman" w:hAnsi="Times New Roman"/>
          <w:lang w:eastAsia="it-IT"/>
        </w:rPr>
        <w:instrText> HYPERLINK "http://https/entilocali.leggiditalia.it/" \l "id=10LX0000193796ART0,__m=document"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regolamento (CEE) n. 1612/68</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ed abroga le </w:t>
      </w:r>
      <w:r>
        <w:fldChar w:fldCharType="begin"/>
      </w:r>
      <w:r>
        <w:rPr>
          <w:sz w:val="24"/>
          <w:szCs w:val="24"/>
          <w:iCs/>
          <w:rFonts w:eastAsia="Times New Roman" w:cs="Times New Roman" w:ascii="Times New Roman" w:hAnsi="Times New Roman"/>
          <w:lang w:eastAsia="it-IT"/>
        </w:rPr>
        <w:instrText> HYPERLINK "http://https/entilocali.leggiditalia.it/" \l "id=10LX0000193793ART0,__m=document"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direttive 64/221/CEE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"id=10LX0000193839ART0,__m=document"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68/360/CEE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"id=10LX0000195631ART0,__m=document"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72/194/CEE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"id=10LX0000191905ART0,__m=document"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73/148/CEE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"id=10LX0000191906ART0,__m=document"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75/34/CEE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r>
        <w:fldChar w:fldCharType="begin"/>
      </w:r>
      <w:r>
        <w:rPr>
          <w:sz w:val="24"/>
          <w:szCs w:val="24"/>
          <w:iCs/>
          <w:rFonts w:eastAsia="Times New Roman" w:cs="Times New Roman" w:ascii="Times New Roman" w:hAnsi="Times New Roman"/>
          <w:lang w:eastAsia="it-IT"/>
        </w:rPr>
        <w:instrText> HYPERLINK "http://https/entilocali.leggiditalia.it/" \l "id=10LX0000191907ART0,__m=document"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75/35/CEE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60/364/CEE, </w:t>
      </w:r>
      <w:r>
        <w:fldChar w:fldCharType="begin"/>
      </w:r>
      <w:r>
        <w:rPr>
          <w:sz w:val="24"/>
          <w:szCs w:val="24"/>
          <w:iCs/>
          <w:rFonts w:eastAsia="Times New Roman" w:cs="Times New Roman" w:ascii="Times New Roman" w:hAnsi="Times New Roman"/>
          <w:lang w:eastAsia="it-IT"/>
        </w:rPr>
        <w:instrText> HYPERLINK "http://https/entilocali.leggiditalia.it/" \l "id=10LX0000191914ART0,__m=document"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90/365/CEE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 </w:t>
      </w:r>
      <w:r>
        <w:fldChar w:fldCharType="begin"/>
      </w:r>
      <w:r>
        <w:rPr>
          <w:sz w:val="24"/>
          <w:szCs w:val="24"/>
          <w:iCs/>
          <w:rFonts w:eastAsia="Times New Roman" w:cs="Times New Roman" w:ascii="Times New Roman" w:hAnsi="Times New Roman"/>
          <w:lang w:eastAsia="it-IT"/>
        </w:rPr>
        <w:instrText> HYPERLINK "http://https/entilocali.leggiditalia.it/" \l "id=10LX0000191898ART0,__m=document"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93/96/CEE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persone di cui al comma 1, lettere f), g), h) e i) con residenza anagrafica in Italia da data anteriore a quella indicata nell'elenco F dell'allegato 20 con obbligo di presentare al vettore all'atto dell'imbarco e a chiunque sia deputato a effettuare i controlli un'attestazione di essersi sottoposti, nelle 72 ore antecedenti all'ingresso nel territorio nazionale, a un test molecolare o antigenico, effettuato per mezzo di tampone e risultato negativo;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equipaggio e personale viaggiante dei mezzi di trasporto;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italiane e straniere, personale del Sistema di informazione per la sicurezza della Repubblica e dei vigili del fuoco, nell'esercizio delle loro funzioni.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3. Sono fatte salve le limitazioni disposte per specifiche aree del territorio nazionale ai sensi dell'</w:t>
      </w:r>
      <w:r>
        <w:fldChar w:fldCharType="begin"/>
      </w:r>
      <w:r>
        <w:rPr>
          <w:sz w:val="24"/>
          <w:szCs w:val="24"/>
          <w:iCs/>
          <w:rFonts w:eastAsia="Times New Roman" w:cs="Times New Roman" w:ascii="Times New Roman" w:hAnsi="Times New Roman"/>
          <w:lang w:eastAsia="it-IT"/>
        </w:rPr>
        <w:instrText> HYPERLINK "http://https/entilocali.leggiditalia.it/" \l "id=10LX0000892184ART13,__m=document"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articolo 1, comma 3, del decreto-legge n. 33 del 2020</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nonché le limitazioni disposte in relazione alla provenienza da specifici Stati e territori ai sensi dell'</w:t>
      </w:r>
      <w:r>
        <w:fldChar w:fldCharType="begin"/>
      </w:r>
      <w:r>
        <w:rPr>
          <w:sz w:val="24"/>
          <w:szCs w:val="24"/>
          <w:iCs/>
          <w:rFonts w:eastAsia="Times New Roman" w:cs="Times New Roman" w:ascii="Times New Roman" w:hAnsi="Times New Roman"/>
          <w:lang w:eastAsia="it-IT"/>
        </w:rPr>
        <w:instrText> HYPERLINK "http://https/entilocali.leggiditalia.it/" \l "id=10LX0000892184ART13,__m=document"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articolo 1, comma 4, del decreto-legge n. 33 del 2020</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7</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Obblighi di dichiarazione in occasione dell'ingresso nel territorio nazionale dall'estero</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 Fermi restando i divieti e le limitazioni di ingresso in Italia stabiliti all'articolo 6,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r>
        <w:fldChar w:fldCharType="begin"/>
      </w:r>
      <w:r>
        <w:rPr>
          <w:sz w:val="24"/>
          <w:szCs w:val="24"/>
          <w:iCs/>
          <w:rFonts w:eastAsia="Times New Roman" w:cs="Times New Roman" w:ascii="Times New Roman" w:hAnsi="Times New Roman"/>
          <w:lang w:eastAsia="it-IT"/>
        </w:rPr>
        <w:instrText> HYPERLINK "http://https/entilocali.leggiditalia.it/" \l "id=10LX0000144828ART58,__m=document"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articoli 46</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 </w:t>
      </w:r>
      <w:r>
        <w:fldChar w:fldCharType="begin"/>
      </w:r>
      <w:r>
        <w:rPr>
          <w:sz w:val="24"/>
          <w:szCs w:val="24"/>
          <w:iCs/>
          <w:rFonts w:eastAsia="Times New Roman" w:cs="Times New Roman" w:ascii="Times New Roman" w:hAnsi="Times New Roman"/>
          <w:lang w:eastAsia="it-IT"/>
        </w:rPr>
        <w:instrText> HYPERLINK "http://https/entilocali.leggiditalia.it/" \l "id=10LX0000144828ART59,__m=document"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47 del decreto del Presidente della Repubblica del 28 dicembre 2000, n. 445</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recante l'indicazione in modo chiaro e dettagliato, tale da consentire le verifiche, di:</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Paesi e territori esteri nei quali la persona ha soggiornato o transitato nei quattordici giorni anteriori all'ingresso in Italia;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motivi dello spostamento conformemente all'articolo 6, nel caso di ingresso da Stati e territori di cui agli elenchi E ed F dell'allegato 20;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nel caso di soggiorno o transito nei quattordici giorni anteriori all'ingresso in Italia in uno o più Stati e territori di cui agli elenchi D, E ed F dell'allegato 20: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 indirizzo completo dell'abitazione o della dimora in Italia dove sarà svolto il periodo di sorveglianza sanitaria e isolamento fiduciario;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3) recapito telefonico anche mobile presso cui ricevere le comunicazioni durante l'intero periodo di sorveglianza sanitaria e isolamento fiduciario;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4) eventuale sussistenza di una o più circostanze di cui all'articolo 8, commi 7 e 8.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 effettuare i controlli un'attestazione di essersi sottoposti, nelle 72 ore antecedenti all'ingresso nel territorio nazionale, a un test molecolare o antigenico, effettuato per mezzo di tampone e risultato negativo.</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3. Le persone, che hanno soggiornato o transitato, nei quattordici giorni antecedenti all'ingresso in Italia, in Stati o territori di cui agli elenchi C, D, E ed F dell'allegato 20, anche se asintomatiche, sono obbligate a comunicare immediatamente il proprio ingresso nel territorio nazionale al Dipartimento di prevenzione dell'azienda sanitaria competente per territorio.</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pPr>
        <w:pStyle w:val="Normal"/>
        <w:spacing w:lineRule="auto" w:line="240" w:before="0" w:after="48"/>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8</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Sorveglianza sanitaria e isolamento fiduciario e obblighi di sottoporsi a test molecolare o antigenico a seguito dell'ingresso nel territorio nazionale dall'estero</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indicato ai sensi dell'articolo 7, comma 1, lettera c), fatto salvo il caso di transito aeroportuale di cui al comma 3;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sono sottoposte alla sorveglianza sanitaria e all'isolamento fiduciario per un periodo di quattordici giorni presso l'abitazione o la dimora indicata ai sensi dell'articolo 7, comma 1, lettera c).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nella dichiarazione di cui all'articolo 7, comma 1, lettera c), a condizione di non allontanarsi dalle aree specificamente destinate all'interno delle aerostazioni.</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7,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dall'articolo 7,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 accertano l'assenza di febbre o altra sintomatologia del soggetto da porre in isolamento, nonché' degli altri eventuali conviventi;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f) informano la persona circa la necessità di misurare la temperatura corporea due volte al giorno (la mattina e la sera), nonché di mantenere: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 lo stato di isolamento per quattordici giorni dall'ultima esposizione;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2) il divieto di contatti sociali;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3) il divieto di spostamenti e viaggi;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4) l'obbligo di rimanere raggiungibile per le attività di sorveglianza;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 in caso di comparsa di sintomi la persona in sorveglianza deve: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 avvertire immediatamente il medico di medicina generale o il pediatra di libera scelta e l'operatore di sanità pubblica;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2) indossare una mascherina chirurgica e allontanarsi dagli altri conviventi; </w:t>
      </w:r>
    </w:p>
    <w:p>
      <w:pPr>
        <w:pStyle w:val="Normal"/>
        <w:spacing w:lineRule="auto" w:line="240" w:before="0" w:after="48"/>
        <w:ind w:firstLine="6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3) rimanere nella propria stanza con la porta chiusa garantendo un'adeguata ventilazione naturale, in attesa del trasferimento in ospedale, ove necessario;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r>
        <w:fldChar w:fldCharType="begin"/>
      </w:r>
      <w:r>
        <w:rPr>
          <w:sz w:val="24"/>
          <w:szCs w:val="24"/>
          <w:iCs/>
          <w:rFonts w:eastAsia="Times New Roman" w:cs="Times New Roman" w:ascii="Times New Roman" w:hAnsi="Times New Roman"/>
          <w:lang w:eastAsia="it-IT"/>
        </w:rPr>
        <w:instrText> HYPERLINK "http://https/entilocali.leggiditalia.it/" \l "id=10LX0000888300ART0,__m=document"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circolare n. 5443 del Ministero della salute del 22 febbraio 2020</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e successive modificazioni e integrazioni.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6. Nel caso di soggiorno o transito nei quattordici giorni anteriori all'ingresso in Italia in uno o più Stati e territori di cui all'elenco C dell'allegato 20, si applicano le seguenti misure di prevenzione, alternative tra loro:</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7. A condizione che non insorgano sintomi di COVID-19 e fermi restando gli obblighi di cui all'articolo 7, le disposizioni di cui ai commi da 1 a 6 non si applicano:</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all'equipaggio dei mezzi di trasporto;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al personale viaggiante;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ai movimenti da e per gli Stati e territori di cui all'elenco A dell'allegato 20;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 agli ingressi per motivi di lavoro regolati da speciali protocolli di sicurezza, approvati dalla competente autorità sanitaria;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8. A condizione che non insorgano sintomi di COVID-19 e che non ci siano stati soggiorni o transiti in uno o più Paesi di cui all'elenco F dell'allegato 20 nei quattordici giorni antecedenti all'ingresso in Italia, fermi restando gli obblighi di cui all'articolo 7, le disposizioni di cui ai commi da 1 a 6 non si applicano:</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ai cittadini e ai residenti di uno Stato membro dell'Unione europea e degli altri Stati e territori indicati agli elenchi A, B, C e D dell'allegato 20 che fanno ingresso in Italia per comprovati motivi di lavoro, salvo che nei quattordici giorni anteriori all'ingresso in Italia abbiano soggiornato o transitato in uno o più Stati e territori di cui all'elenco C;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 al personale sanitario in ingresso in Italia per l'esercizio di qualifiche professionali sanitarie, incluso l'esercizio temporaneo di cui all'</w:t>
      </w:r>
      <w:r>
        <w:fldChar w:fldCharType="begin"/>
      </w:r>
      <w:r>
        <w:rPr>
          <w:sz w:val="24"/>
          <w:szCs w:val="24"/>
          <w:iCs/>
          <w:rFonts w:eastAsia="Times New Roman" w:cs="Times New Roman" w:ascii="Times New Roman" w:hAnsi="Times New Roman"/>
          <w:lang w:eastAsia="it-IT"/>
        </w:rPr>
        <w:instrText> HYPERLINK "http://https/entilocali.leggiditalia.it/" \l "id=10LX0000888943ART28,__m=document"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articolo 13 del decreto-legge 17 marzo 2020, n. 18</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convertito, con modificazioni, dalla </w:t>
      </w:r>
      <w:r>
        <w:fldChar w:fldCharType="begin"/>
      </w:r>
      <w:r>
        <w:rPr>
          <w:sz w:val="24"/>
          <w:szCs w:val="24"/>
          <w:iCs/>
          <w:rFonts w:eastAsia="Times New Roman" w:cs="Times New Roman" w:ascii="Times New Roman" w:hAnsi="Times New Roman"/>
          <w:lang w:eastAsia="it-IT"/>
        </w:rPr>
        <w:instrText> HYPERLINK "http://https/entilocali.leggiditalia.it/" \l "id=10LX0000891283ART0,__m=document"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legge 24 aprile 2020, n. 27</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xml:space="preserv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f) al personale di imprese ed enti aventi sede legale o secondaria in Italia per spostamenti all'estero per comprovate esigenze lavorative di durata non superiore a 120 ore;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al personale del Sistema di informazione per la sicurezza della Repubblica e dei vigili del fuoco nell'esercizio delle loro funzioni;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pPr>
        <w:pStyle w:val="Normal"/>
        <w:spacing w:lineRule="auto" w:line="240" w:beforeAutospacing="1" w:after="48"/>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9</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Obblighi dei vettori e degli armatori</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I vettori e gli armatori sono tenuti a:</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acquisire e verificare prima dell'imbarco la dichiarazione di cui all'articolo 7;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misurare la temperatura dei singoli passeggeri;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vietare l'imbarco a chi manifesta uno stato febbrile, nonché nel caso in cui la dichiarazione di cui alla lettera a) non sia completa;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f) dotare, al momento dell'imbarco, i passeggeri che ne risultino sprovvisti dei mezzi di protezione individuale.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r>
        <w:fldChar w:fldCharType="begin"/>
      </w:r>
      <w:r>
        <w:rPr>
          <w:sz w:val="24"/>
          <w:szCs w:val="24"/>
          <w:iCs/>
          <w:rFonts w:eastAsia="Times New Roman" w:cs="Times New Roman" w:ascii="Times New Roman" w:hAnsi="Times New Roman"/>
          <w:lang w:eastAsia="it-IT"/>
        </w:rPr>
        <w:instrText> HYPERLINK "http://https/entilocali.leggiditalia.it/" \l "id=10LX0000812634ART0,__m=document"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direttiva (UE) 2015/637 del Consiglio del 20 aprile 2015</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pPr>
        <w:pStyle w:val="Normal"/>
        <w:spacing w:lineRule="auto" w:line="240" w:beforeAutospacing="1" w:after="48"/>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10</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Disposizioni in materia di navi da crociera e navi di bandiera estera</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I servizi di crociera da parte delle navi passeggeri di bandiera italiana possono essere svolti solo nel rispetto delle specifiche linee guida di cui all'allegato 17 del presente decreto, validate dal Comitato tecnico-scientifico di cui all'</w:t>
      </w:r>
      <w:r>
        <w:fldChar w:fldCharType="begin"/>
      </w:r>
      <w:r>
        <w:rPr>
          <w:sz w:val="24"/>
          <w:szCs w:val="24"/>
          <w:iCs/>
          <w:rFonts w:eastAsia="Times New Roman" w:cs="Times New Roman" w:ascii="Times New Roman" w:hAnsi="Times New Roman"/>
          <w:lang w:eastAsia="it-IT"/>
        </w:rPr>
        <w:instrText> HYPERLINK "http://https/entilocali.leggiditalia.it/" \l "id=10LX0000886958ART15,__m=document"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articolo 2 dell'ordinanza 3 febbraio 2020, n. 630, del Capo del Dipartimento della protezione civile</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a decorrere dalla data del 15 agosto 2020.</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 all'elenco C, si applica l'articolo 8, comma 6.</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3. Ai fini dell'autorizzazione allo svolgimento della crociera, prima della partenza della nave, il Comandante presenta all'Autorità marittima una specifica dichiarazione da cui si evincano:</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a) l'avvenuta predisposizione di tutte le misure necessarie al rispetto delle linee guida di cui al comma 1;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b) i successivi porti di scalo ed il porto di fine crociera, con le relative date di arrivo/partenza; </w:t>
      </w:r>
    </w:p>
    <w:p>
      <w:pPr>
        <w:pStyle w:val="Normal"/>
        <w:spacing w:lineRule="auto" w:line="240" w:before="0" w:after="48"/>
        <w:ind w:firstLine="40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la nazionalità e la provenienza dei passeggeri imbarcati nel rispetto delle previsioni di cui al precedente comma. </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5. Gli scali sono consentiti solo negli Stati e territori di cui agli elenchi A, B e C dell'allegato 20 e sono vietate le escursioni libere, per le quali i servizi della crociera non possono adottare specifiche misu</w:t>
      </w:r>
      <w:bookmarkStart w:id="7" w:name="17up"/>
      <w:r>
        <w:rPr>
          <w:rFonts w:eastAsia="Times New Roman" w:cs="Times New Roman" w:ascii="Times New Roman" w:hAnsi="Times New Roman"/>
          <w:sz w:val="24"/>
          <w:szCs w:val="24"/>
          <w:lang w:eastAsia="it-IT"/>
        </w:rPr>
        <w:t>re di prevenzione dal contagio.</w:t>
      </w:r>
      <w:bookmarkEnd w:id="7"/>
    </w:p>
    <w:p>
      <w:pPr>
        <w:pStyle w:val="Normal"/>
        <w:spacing w:lineRule="auto" w:line="240" w:beforeAutospacing="1" w:after="48"/>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11</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Misure in materia di trasporto pubblico di linea</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 15.</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12</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Ulteriori disposizioni specifiche per la disabilità</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 e, in ogni caso, alle medesime persone è sempre consentito, con le suddette modalità, lo svolgimento di attività motoria anche all’aperto.</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13</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Esecuzione e monitoraggio delle misure</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pPr>
        <w:pStyle w:val="Normal"/>
        <w:spacing w:lineRule="auto" w:line="240" w:beforeAutospacing="1" w:after="48"/>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14</w:t>
      </w:r>
    </w:p>
    <w:p>
      <w:pPr>
        <w:pStyle w:val="Normal"/>
        <w:spacing w:lineRule="auto" w:line="240" w:beforeAutospacing="1" w:after="48"/>
        <w:jc w:val="center"/>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Disposizioni finali</w:t>
      </w:r>
    </w:p>
    <w:p>
      <w:pPr>
        <w:pStyle w:val="Normal"/>
        <w:spacing w:lineRule="auto" w:line="240" w:beforeAutospacing="1" w:after="48"/>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 Le disposizioni del presente decreto si applicano dalla data del 5 novembre 2020, in sostituzione di quelle del </w:t>
      </w:r>
      <w:r>
        <w:fldChar w:fldCharType="begin"/>
      </w:r>
      <w:r>
        <w:rPr>
          <w:sz w:val="24"/>
          <w:szCs w:val="24"/>
          <w:iCs/>
          <w:rFonts w:eastAsia="Times New Roman" w:cs="Times New Roman" w:ascii="Times New Roman" w:hAnsi="Times New Roman"/>
          <w:lang w:eastAsia="it-IT"/>
        </w:rPr>
        <w:instrText> HYPERLINK "http://https/entilocali.leggiditalia.it/" \l "id=10LX0000897037ART0,__m=document"</w:instrText>
      </w:r>
      <w:r>
        <w:rPr>
          <w:sz w:val="24"/>
          <w:szCs w:val="24"/>
          <w:iCs/>
          <w:rFonts w:eastAsia="Times New Roman" w:cs="Times New Roman" w:ascii="Times New Roman" w:hAnsi="Times New Roman"/>
          <w:lang w:eastAsia="it-IT"/>
        </w:rPr>
        <w:fldChar w:fldCharType="separate"/>
      </w:r>
      <w:r>
        <w:rPr>
          <w:rFonts w:eastAsia="Times New Roman" w:cs="Times New Roman" w:ascii="Times New Roman" w:hAnsi="Times New Roman"/>
          <w:iCs/>
          <w:sz w:val="24"/>
          <w:szCs w:val="24"/>
          <w:lang w:eastAsia="it-IT"/>
        </w:rPr>
        <w:t>decreto del Presidente del Consiglio dei ministri 24 ottobre 2020</w:t>
      </w:r>
      <w:r>
        <w:rPr>
          <w:sz w:val="24"/>
          <w:szCs w:val="24"/>
          <w:iCs/>
          <w:rFonts w:eastAsia="Times New Roman" w:cs="Times New Roman" w:ascii="Times New Roman" w:hAnsi="Times New Roman"/>
          <w:lang w:eastAsia="it-IT"/>
        </w:rPr>
        <w:fldChar w:fldCharType="end"/>
      </w:r>
      <w:r>
        <w:rPr>
          <w:rFonts w:eastAsia="Times New Roman" w:cs="Times New Roman" w:ascii="Times New Roman" w:hAnsi="Times New Roman"/>
          <w:sz w:val="24"/>
          <w:szCs w:val="24"/>
          <w:lang w:eastAsia="it-IT"/>
        </w:rPr>
        <w:t>, e sono efficaci fino al 3 dicembre 2020.</w:t>
      </w:r>
    </w:p>
    <w:p>
      <w:pPr>
        <w:pStyle w:val="Normal"/>
        <w:spacing w:lineRule="auto" w:line="240" w:beforeAutospacing="1" w:after="48"/>
        <w:jc w:val="both"/>
        <w:rPr>
          <w:i/>
          <w:i/>
          <w:iCs/>
        </w:rPr>
      </w:pPr>
      <w:r>
        <w:rPr>
          <w:rFonts w:eastAsia="Times New Roman" w:cs="Times New Roman" w:ascii="Times New Roman" w:hAnsi="Times New Roman"/>
          <w:sz w:val="24"/>
          <w:szCs w:val="24"/>
          <w:lang w:eastAsia="it-IT"/>
        </w:rPr>
        <w:t>2. Le disposizioni del presente decreto si applicano alle Regioni a statuto speciale e alle Province autonome di Trento e di Bolzano compatibilmente con i rispettivi statuti e le relative norme di attuazione.</w:t>
      </w:r>
      <w:r>
        <w:rPr>
          <w:i/>
          <w:iCs/>
        </w:rPr>
        <w:t xml:space="preserve"> </w:t>
      </w:r>
    </w:p>
    <w:p>
      <w:pPr>
        <w:pStyle w:val="ListParagraph"/>
        <w:tabs>
          <w:tab w:val="clear" w:pos="708"/>
          <w:tab w:val="left" w:pos="396" w:leader="none"/>
        </w:tabs>
        <w:spacing w:before="0" w:after="48"/>
        <w:ind w:left="369" w:right="-1" w:hanging="0"/>
        <w:rPr>
          <w:sz w:val="24"/>
          <w:szCs w:val="24"/>
        </w:rPr>
      </w:pPr>
      <w:r>
        <w:rPr>
          <w:sz w:val="24"/>
          <w:szCs w:val="24"/>
        </w:rPr>
      </w:r>
    </w:p>
    <w:p>
      <w:pPr>
        <w:pStyle w:val="ListParagraph"/>
        <w:tabs>
          <w:tab w:val="clear" w:pos="708"/>
          <w:tab w:val="left" w:pos="396" w:leader="none"/>
        </w:tabs>
        <w:spacing w:before="0" w:after="48"/>
        <w:ind w:left="369" w:right="-1" w:hanging="0"/>
        <w:rPr>
          <w:sz w:val="24"/>
          <w:szCs w:val="24"/>
        </w:rPr>
      </w:pPr>
      <w:r>
        <w:rPr>
          <w:sz w:val="24"/>
          <w:szCs w:val="24"/>
        </w:rPr>
      </w:r>
    </w:p>
    <w:p>
      <w:pPr>
        <w:pStyle w:val="ListParagraph"/>
        <w:tabs>
          <w:tab w:val="clear" w:pos="708"/>
          <w:tab w:val="left" w:pos="396" w:leader="none"/>
        </w:tabs>
        <w:spacing w:before="0" w:after="48"/>
        <w:ind w:left="369" w:right="-1" w:hanging="0"/>
        <w:rPr>
          <w:sz w:val="24"/>
          <w:szCs w:val="24"/>
        </w:rPr>
      </w:pPr>
      <w:r>
        <w:rPr>
          <w:sz w:val="24"/>
          <w:szCs w:val="24"/>
        </w:rPr>
        <w:t>Roma, 3 novembre 2020</w:t>
        <w:tab/>
        <w:tab/>
      </w:r>
    </w:p>
    <w:p>
      <w:pPr>
        <w:pStyle w:val="ListParagraph"/>
        <w:tabs>
          <w:tab w:val="clear" w:pos="708"/>
          <w:tab w:val="left" w:pos="396" w:leader="none"/>
        </w:tabs>
        <w:spacing w:before="0" w:after="48"/>
        <w:ind w:left="369" w:right="-1" w:hanging="0"/>
        <w:rPr>
          <w:sz w:val="24"/>
          <w:szCs w:val="24"/>
        </w:rPr>
      </w:pPr>
      <w:r>
        <w:rPr>
          <w:sz w:val="24"/>
          <w:szCs w:val="24"/>
        </w:rPr>
        <w:tab/>
        <w:tab/>
        <w:tab/>
        <w:tab/>
        <w:tab/>
        <w:tab/>
        <w:tab/>
        <w:tab/>
        <w:tab/>
        <w:t>Il Presidente del Consiglio dei ministri</w:t>
      </w:r>
    </w:p>
    <w:p>
      <w:pPr>
        <w:pStyle w:val="ListParagraph"/>
        <w:tabs>
          <w:tab w:val="clear" w:pos="708"/>
          <w:tab w:val="left" w:pos="396" w:leader="none"/>
        </w:tabs>
        <w:spacing w:before="0" w:after="48"/>
        <w:ind w:left="369" w:right="-1" w:hanging="0"/>
        <w:rPr>
          <w:sz w:val="24"/>
          <w:szCs w:val="24"/>
        </w:rPr>
      </w:pPr>
      <w:r>
        <w:rPr>
          <w:sz w:val="24"/>
          <w:szCs w:val="24"/>
        </w:rPr>
        <w:tab/>
        <w:tab/>
        <w:tab/>
        <w:tab/>
        <w:tab/>
        <w:tab/>
        <w:tab/>
        <w:tab/>
        <w:tab/>
        <w:tab/>
      </w:r>
    </w:p>
    <w:p>
      <w:pPr>
        <w:pStyle w:val="ListParagraph"/>
        <w:tabs>
          <w:tab w:val="clear" w:pos="708"/>
          <w:tab w:val="left" w:pos="396" w:leader="none"/>
        </w:tabs>
        <w:spacing w:before="0" w:after="48"/>
        <w:ind w:left="369" w:right="-1" w:hanging="0"/>
        <w:rPr>
          <w:sz w:val="24"/>
          <w:szCs w:val="24"/>
        </w:rPr>
      </w:pPr>
      <w:r>
        <w:rPr>
          <w:sz w:val="24"/>
          <w:szCs w:val="24"/>
        </w:rPr>
      </w:r>
    </w:p>
    <w:p>
      <w:pPr>
        <w:pStyle w:val="ListParagraph"/>
        <w:tabs>
          <w:tab w:val="clear" w:pos="708"/>
          <w:tab w:val="left" w:pos="396" w:leader="none"/>
        </w:tabs>
        <w:spacing w:before="0" w:after="48"/>
        <w:ind w:left="369" w:right="-1" w:hanging="0"/>
        <w:rPr>
          <w:sz w:val="24"/>
          <w:szCs w:val="24"/>
        </w:rPr>
      </w:pPr>
      <w:r>
        <w:rPr>
          <w:sz w:val="24"/>
          <w:szCs w:val="24"/>
        </w:rPr>
        <w:t>Il Ministro della salute</w:t>
      </w:r>
    </w:p>
    <w:sectPr>
      <w:type w:val="nextPage"/>
      <w:pgSz w:w="11906" w:h="16838"/>
      <w:pgMar w:left="1134" w:right="1134" w:header="0" w:top="362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Helvetica">
    <w:altName w:val="Arial"/>
    <w:charset w:val="01"/>
    <w:family w:val="roman"/>
    <w:pitch w:val="variable"/>
  </w:font>
  <w:font w:name="Courier New">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9" w:hanging="270"/>
      </w:pPr>
      <w:rPr>
        <w:sz w:val="20"/>
        <w:spacing w:val="-1"/>
        <w:szCs w:val="20"/>
        <w:w w:val="100"/>
        <w:rFonts w:eastAsia="Verdana" w:cs="Verdana"/>
        <w:lang w:val="it-IT" w:eastAsia="it-IT" w:bidi="it-IT"/>
      </w:rPr>
    </w:lvl>
    <w:lvl w:ilvl="1">
      <w:start w:val="1"/>
      <w:numFmt w:val="lowerLetter"/>
      <w:lvlText w:val="%2)"/>
      <w:lvlJc w:val="left"/>
      <w:pPr>
        <w:tabs>
          <w:tab w:val="num" w:pos="0"/>
        </w:tabs>
        <w:ind w:left="100" w:hanging="258"/>
      </w:pPr>
      <w:rPr>
        <w:sz w:val="24"/>
        <w:spacing w:val="-1"/>
        <w:szCs w:val="24"/>
        <w:w w:val="100"/>
        <w:rFonts w:eastAsia="Verdana" w:cs="Times New Roman"/>
        <w:lang w:val="it-IT" w:eastAsia="it-IT" w:bidi="it-IT"/>
      </w:rPr>
    </w:lvl>
    <w:lvl w:ilvl="2">
      <w:start w:val="0"/>
      <w:numFmt w:val="bullet"/>
      <w:lvlText w:val=""/>
      <w:lvlJc w:val="left"/>
      <w:pPr>
        <w:tabs>
          <w:tab w:val="num" w:pos="0"/>
        </w:tabs>
        <w:ind w:left="1542" w:hanging="258"/>
      </w:pPr>
      <w:rPr>
        <w:rFonts w:ascii="Symbol" w:hAnsi="Symbol" w:cs="Symbol" w:hint="default"/>
      </w:rPr>
    </w:lvl>
    <w:lvl w:ilvl="3">
      <w:start w:val="0"/>
      <w:numFmt w:val="bullet"/>
      <w:lvlText w:val=""/>
      <w:lvlJc w:val="left"/>
      <w:pPr>
        <w:tabs>
          <w:tab w:val="num" w:pos="0"/>
        </w:tabs>
        <w:ind w:left="2724" w:hanging="258"/>
      </w:pPr>
      <w:rPr>
        <w:rFonts w:ascii="Symbol" w:hAnsi="Symbol" w:cs="Symbol" w:hint="default"/>
      </w:rPr>
    </w:lvl>
    <w:lvl w:ilvl="4">
      <w:start w:val="0"/>
      <w:numFmt w:val="bullet"/>
      <w:lvlText w:val=""/>
      <w:lvlJc w:val="left"/>
      <w:pPr>
        <w:tabs>
          <w:tab w:val="num" w:pos="0"/>
        </w:tabs>
        <w:ind w:left="3906" w:hanging="258"/>
      </w:pPr>
      <w:rPr>
        <w:rFonts w:ascii="Symbol" w:hAnsi="Symbol" w:cs="Symbol" w:hint="default"/>
      </w:rPr>
    </w:lvl>
    <w:lvl w:ilvl="5">
      <w:start w:val="0"/>
      <w:numFmt w:val="bullet"/>
      <w:lvlText w:val=""/>
      <w:lvlJc w:val="left"/>
      <w:pPr>
        <w:tabs>
          <w:tab w:val="num" w:pos="0"/>
        </w:tabs>
        <w:ind w:left="5088" w:hanging="258"/>
      </w:pPr>
      <w:rPr>
        <w:rFonts w:ascii="Symbol" w:hAnsi="Symbol" w:cs="Symbol" w:hint="default"/>
      </w:rPr>
    </w:lvl>
    <w:lvl w:ilvl="6">
      <w:start w:val="0"/>
      <w:numFmt w:val="bullet"/>
      <w:lvlText w:val=""/>
      <w:lvlJc w:val="left"/>
      <w:pPr>
        <w:tabs>
          <w:tab w:val="num" w:pos="0"/>
        </w:tabs>
        <w:ind w:left="6271" w:hanging="258"/>
      </w:pPr>
      <w:rPr>
        <w:rFonts w:ascii="Symbol" w:hAnsi="Symbol" w:cs="Symbol" w:hint="default"/>
      </w:rPr>
    </w:lvl>
    <w:lvl w:ilvl="7">
      <w:start w:val="0"/>
      <w:numFmt w:val="bullet"/>
      <w:lvlText w:val=""/>
      <w:lvlJc w:val="left"/>
      <w:pPr>
        <w:tabs>
          <w:tab w:val="num" w:pos="0"/>
        </w:tabs>
        <w:ind w:left="7453" w:hanging="258"/>
      </w:pPr>
      <w:rPr>
        <w:rFonts w:ascii="Symbol" w:hAnsi="Symbol" w:cs="Symbol" w:hint="default"/>
      </w:rPr>
    </w:lvl>
    <w:lvl w:ilvl="8">
      <w:start w:val="0"/>
      <w:numFmt w:val="bullet"/>
      <w:lvlText w:val=""/>
      <w:lvlJc w:val="left"/>
      <w:pPr>
        <w:tabs>
          <w:tab w:val="num" w:pos="0"/>
        </w:tabs>
        <w:ind w:left="8635" w:hanging="258"/>
      </w:pPr>
      <w:rPr>
        <w:rFonts w:ascii="Symbol" w:hAnsi="Symbol" w:cs="Symbol" w:hint="default"/>
      </w:r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5f8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4822ef"/>
    <w:rPr>
      <w:rFonts w:ascii="Segoe UI" w:hAnsi="Segoe UI" w:cs="Segoe UI"/>
      <w:sz w:val="18"/>
      <w:szCs w:val="18"/>
    </w:rPr>
  </w:style>
  <w:style w:type="character" w:styleId="CorpotestoCarattere" w:customStyle="1">
    <w:name w:val="Corpo testo Carattere"/>
    <w:basedOn w:val="DefaultParagraphFont"/>
    <w:link w:val="Corpotesto"/>
    <w:uiPriority w:val="1"/>
    <w:semiHidden/>
    <w:qFormat/>
    <w:rsid w:val="00c56512"/>
    <w:rPr>
      <w:rFonts w:ascii="Times New Roman" w:hAnsi="Times New Roman" w:eastAsia="Times New Roman" w:cs="Times New Roman"/>
      <w:sz w:val="20"/>
      <w:szCs w:val="20"/>
      <w:lang w:eastAsia="it-IT" w:bidi="it-IT"/>
    </w:rPr>
  </w:style>
  <w:style w:type="character" w:styleId="CollegamentoInternet">
    <w:name w:val="Collegamento Internet"/>
    <w:basedOn w:val="DefaultParagraphFont"/>
    <w:uiPriority w:val="99"/>
    <w:semiHidden/>
    <w:unhideWhenUsed/>
    <w:rsid w:val="00d1615f"/>
    <w:rPr>
      <w:color w:val="0000FF"/>
      <w:u w:val="single"/>
    </w:rPr>
  </w:style>
  <w:style w:type="character" w:styleId="Linkneltesto" w:customStyle="1">
    <w:name w:val="link_nel_testo"/>
    <w:basedOn w:val="DefaultParagraphFont"/>
    <w:qFormat/>
    <w:rsid w:val="00d1615f"/>
    <w:rPr>
      <w:i/>
      <w:iCs/>
    </w:rPr>
  </w:style>
  <w:style w:type="character" w:styleId="Annotationreference">
    <w:name w:val="annotation reference"/>
    <w:basedOn w:val="DefaultParagraphFont"/>
    <w:uiPriority w:val="99"/>
    <w:semiHidden/>
    <w:unhideWhenUsed/>
    <w:qFormat/>
    <w:rsid w:val="00276a77"/>
    <w:rPr>
      <w:sz w:val="16"/>
      <w:szCs w:val="16"/>
    </w:rPr>
  </w:style>
  <w:style w:type="character" w:styleId="TestocommentoCarattere" w:customStyle="1">
    <w:name w:val="Testo commento Carattere"/>
    <w:basedOn w:val="DefaultParagraphFont"/>
    <w:link w:val="Testocommento"/>
    <w:uiPriority w:val="99"/>
    <w:semiHidden/>
    <w:qFormat/>
    <w:rsid w:val="00276a77"/>
    <w:rPr>
      <w:sz w:val="20"/>
      <w:szCs w:val="20"/>
    </w:rPr>
  </w:style>
  <w:style w:type="character" w:styleId="SoggettocommentoCarattere" w:customStyle="1">
    <w:name w:val="Soggetto commento Carattere"/>
    <w:basedOn w:val="TestocommentoCarattere"/>
    <w:link w:val="Soggettocommento"/>
    <w:uiPriority w:val="99"/>
    <w:semiHidden/>
    <w:qFormat/>
    <w:rsid w:val="00276a77"/>
    <w:rPr>
      <w:b/>
      <w:bCs/>
      <w:sz w:val="20"/>
      <w:szCs w:val="20"/>
    </w:rPr>
  </w:style>
  <w:style w:type="character" w:styleId="IntestazioneCarattere" w:customStyle="1">
    <w:name w:val="Intestazione Carattere"/>
    <w:basedOn w:val="DefaultParagraphFont"/>
    <w:link w:val="Intestazione"/>
    <w:uiPriority w:val="99"/>
    <w:qFormat/>
    <w:rsid w:val="00957eec"/>
    <w:rPr/>
  </w:style>
  <w:style w:type="character" w:styleId="PidipaginaCarattere" w:customStyle="1">
    <w:name w:val="Piè di pagina Carattere"/>
    <w:basedOn w:val="DefaultParagraphFont"/>
    <w:link w:val="Pidipagina"/>
    <w:uiPriority w:val="99"/>
    <w:qFormat/>
    <w:rsid w:val="00957eec"/>
    <w:rPr/>
  </w:style>
  <w:style w:type="character" w:styleId="S1" w:customStyle="1">
    <w:name w:val="s1"/>
    <w:basedOn w:val="DefaultParagraphFont"/>
    <w:qFormat/>
    <w:rsid w:val="003a293d"/>
    <w:rPr/>
  </w:style>
  <w:style w:type="character" w:styleId="TestonormaleCarattere" w:customStyle="1">
    <w:name w:val="Testo normale Carattere"/>
    <w:basedOn w:val="DefaultParagraphFont"/>
    <w:link w:val="Testonormale"/>
    <w:uiPriority w:val="99"/>
    <w:semiHidden/>
    <w:qFormat/>
    <w:rsid w:val="00396808"/>
    <w:rPr>
      <w:rFonts w:ascii="Calibri" w:hAnsi="Calibri"/>
      <w:szCs w:val="21"/>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link w:val="CorpotestoCarattere"/>
    <w:uiPriority w:val="1"/>
    <w:semiHidden/>
    <w:unhideWhenUsed/>
    <w:qFormat/>
    <w:rsid w:val="00c56512"/>
    <w:pPr>
      <w:widowControl w:val="false"/>
      <w:spacing w:lineRule="auto" w:line="240" w:before="0" w:after="0"/>
    </w:pPr>
    <w:rPr>
      <w:rFonts w:ascii="Times New Roman" w:hAnsi="Times New Roman" w:eastAsia="Times New Roman" w:cs="Times New Roman"/>
      <w:sz w:val="20"/>
      <w:szCs w:val="20"/>
      <w:lang w:eastAsia="it-IT" w:bidi="it-IT"/>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BalloonText">
    <w:name w:val="Balloon Text"/>
    <w:basedOn w:val="Normal"/>
    <w:link w:val="TestofumettoCarattere"/>
    <w:uiPriority w:val="99"/>
    <w:semiHidden/>
    <w:unhideWhenUsed/>
    <w:qFormat/>
    <w:rsid w:val="004822e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56512"/>
    <w:pPr>
      <w:widowControl w:val="false"/>
      <w:spacing w:lineRule="auto" w:line="240" w:before="0" w:after="0"/>
      <w:ind w:left="1548" w:hanging="308"/>
      <w:jc w:val="both"/>
    </w:pPr>
    <w:rPr>
      <w:rFonts w:ascii="Times New Roman" w:hAnsi="Times New Roman" w:eastAsia="Times New Roman" w:cs="Times New Roman"/>
      <w:lang w:eastAsia="it-IT" w:bidi="it-IT"/>
    </w:rPr>
  </w:style>
  <w:style w:type="paragraph" w:styleId="Default" w:customStyle="1">
    <w:name w:val="Default"/>
    <w:qFormat/>
    <w:rsid w:val="00287e7b"/>
    <w:pPr>
      <w:widowControl/>
      <w:bidi w:val="0"/>
      <w:spacing w:lineRule="auto" w:line="240" w:before="0" w:after="0"/>
      <w:jc w:val="left"/>
    </w:pPr>
    <w:rPr>
      <w:rFonts w:ascii="Verdana" w:hAnsi="Verdana" w:cs="Verdana" w:eastAsia="Calibri"/>
      <w:color w:val="000000"/>
      <w:kern w:val="0"/>
      <w:sz w:val="24"/>
      <w:szCs w:val="24"/>
      <w:lang w:val="it-IT" w:eastAsia="en-US" w:bidi="ar-SA"/>
    </w:rPr>
  </w:style>
  <w:style w:type="paragraph" w:styleId="NormalWeb">
    <w:name w:val="Normal (Web)"/>
    <w:basedOn w:val="Normal"/>
    <w:uiPriority w:val="99"/>
    <w:unhideWhenUsed/>
    <w:qFormat/>
    <w:rsid w:val="00d1615f"/>
    <w:pPr>
      <w:spacing w:lineRule="auto" w:line="240" w:beforeAutospacing="1" w:after="20"/>
    </w:pPr>
    <w:rPr>
      <w:rFonts w:ascii="Times New Roman" w:hAnsi="Times New Roman" w:eastAsia="Times New Roman" w:cs="Times New Roman"/>
      <w:sz w:val="24"/>
      <w:szCs w:val="24"/>
      <w:lang w:eastAsia="it-IT"/>
    </w:rPr>
  </w:style>
  <w:style w:type="paragraph" w:styleId="Provvc" w:customStyle="1">
    <w:name w:val="provv_c"/>
    <w:basedOn w:val="Normal"/>
    <w:qFormat/>
    <w:rsid w:val="00d1615f"/>
    <w:pPr>
      <w:spacing w:lineRule="auto" w:line="240" w:beforeAutospacing="1" w:after="20"/>
      <w:jc w:val="center"/>
    </w:pPr>
    <w:rPr>
      <w:rFonts w:ascii="Times New Roman" w:hAnsi="Times New Roman" w:eastAsia="Times New Roman" w:cs="Times New Roman"/>
      <w:sz w:val="24"/>
      <w:szCs w:val="24"/>
      <w:lang w:eastAsia="it-IT"/>
    </w:rPr>
  </w:style>
  <w:style w:type="paragraph" w:styleId="Annotationtext">
    <w:name w:val="annotation text"/>
    <w:basedOn w:val="Normal"/>
    <w:link w:val="TestocommentoCarattere"/>
    <w:uiPriority w:val="99"/>
    <w:semiHidden/>
    <w:unhideWhenUsed/>
    <w:qFormat/>
    <w:rsid w:val="00276a77"/>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276a77"/>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57ee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957eec"/>
    <w:pPr>
      <w:tabs>
        <w:tab w:val="clear" w:pos="708"/>
        <w:tab w:val="center" w:pos="4819" w:leader="none"/>
        <w:tab w:val="right" w:pos="9638" w:leader="none"/>
      </w:tabs>
      <w:spacing w:lineRule="auto" w:line="240" w:before="0" w:after="0"/>
    </w:pPr>
    <w:rPr/>
  </w:style>
  <w:style w:type="paragraph" w:styleId="P1" w:customStyle="1">
    <w:name w:val="p1"/>
    <w:basedOn w:val="Normal"/>
    <w:qFormat/>
    <w:rsid w:val="003a293d"/>
    <w:pPr>
      <w:spacing w:lineRule="auto" w:line="240" w:beforeAutospacing="1" w:afterAutospacing="1"/>
    </w:pPr>
    <w:rPr>
      <w:rFonts w:ascii="Times New Roman" w:hAnsi="Times New Roman" w:cs="Times New Roman"/>
      <w:sz w:val="24"/>
      <w:szCs w:val="24"/>
      <w:lang w:eastAsia="it-IT"/>
    </w:rPr>
  </w:style>
  <w:style w:type="paragraph" w:styleId="Body1" w:customStyle="1">
    <w:name w:val="Body 1"/>
    <w:qFormat/>
    <w:rsid w:val="000c1027"/>
    <w:pPr>
      <w:widowControl/>
      <w:bidi w:val="0"/>
      <w:spacing w:lineRule="auto" w:line="240" w:before="0" w:after="0"/>
      <w:jc w:val="left"/>
    </w:pPr>
    <w:rPr>
      <w:rFonts w:ascii="Helvetica" w:hAnsi="Helvetica" w:eastAsia="Arial Unicode MS" w:cs="Times New Roman"/>
      <w:color w:val="000000"/>
      <w:kern w:val="0"/>
      <w:sz w:val="24"/>
      <w:szCs w:val="20"/>
      <w:lang w:eastAsia="it-IT" w:val="it-IT" w:bidi="ar-SA"/>
    </w:rPr>
  </w:style>
  <w:style w:type="paragraph" w:styleId="PlainText">
    <w:name w:val="Plain Text"/>
    <w:basedOn w:val="Normal"/>
    <w:link w:val="TestonormaleCarattere"/>
    <w:uiPriority w:val="99"/>
    <w:semiHidden/>
    <w:unhideWhenUsed/>
    <w:qFormat/>
    <w:rsid w:val="00396808"/>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64D4-121E-4F54-A2F9-FEB90950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13</Pages>
  <Words>11783</Words>
  <Characters>67899</Characters>
  <CharactersWithSpaces>79630</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2020-11-04T10:24:00Z</dcterms:created>
  <dc:creator/>
  <dc:description/>
  <dc:language>it-IT</dc:language>
  <cp:lastModifiedBy/>
  <dcterms:modified xsi:type="dcterms:W3CDTF">2020-11-04T10:36:00Z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